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F3864"/>
          <w:sz w:val="32"/>
          <w:szCs w:val="32"/>
        </w:rPr>
        <w:t xml:space="preserve">MEMORANDUM</w:t>
      </w:r>
    </w:p>
    <w:p>
      <w:pPr>
        <w:tabs>
          <w:tab w:val="left" w:pos="1100"/>
        </w:tabs>
        <w:spacing w:after="40"/>
      </w:pPr>
      <w:r>
        <w:rPr>
          <w:rFonts w:ascii="Arial" w:cs="Arial" w:eastAsia="Arial" w:hAnsi="Arial"/>
          <w:b/>
          <w:bCs/>
          <w:sz w:val="21"/>
          <w:szCs w:val="21"/>
        </w:rPr>
        <w:t xml:space="preserve">To:</w:t>
      </w:r>
      <w:r>
        <w:rPr>
          <w:rFonts w:ascii="Arial" w:cs="Arial" w:eastAsia="Arial" w:hAnsi="Arial"/>
          <w:sz w:val="21"/>
          <w:szCs w:val="21"/>
        </w:rPr>
        <w:t xml:space="preserve">	Client</w:t>
      </w:r>
    </w:p>
    <w:p>
      <w:pPr>
        <w:tabs>
          <w:tab w:val="left" w:pos="1100"/>
        </w:tabs>
        <w:spacing w:after="40"/>
      </w:pPr>
      <w:r>
        <w:rPr>
          <w:rFonts w:ascii="Arial" w:cs="Arial" w:eastAsia="Arial" w:hAnsi="Arial"/>
          <w:b/>
          <w:bCs/>
          <w:sz w:val="21"/>
          <w:szCs w:val="21"/>
        </w:rPr>
        <w:t xml:space="preserve">From:</w:t>
      </w:r>
      <w:r>
        <w:rPr>
          <w:rFonts w:ascii="Arial" w:cs="Arial" w:eastAsia="Arial" w:hAnsi="Arial"/>
          <w:sz w:val="21"/>
          <w:szCs w:val="21"/>
        </w:rPr>
        <w:t xml:space="preserve">	Claude (AI-assisted SEC filings research)</w:t>
      </w:r>
    </w:p>
    <w:p>
      <w:pPr>
        <w:tabs>
          <w:tab w:val="left" w:pos="1100"/>
        </w:tabs>
        <w:spacing w:after="40"/>
      </w:pPr>
      <w:r>
        <w:rPr>
          <w:rFonts w:ascii="Arial" w:cs="Arial" w:eastAsia="Arial" w:hAnsi="Arial"/>
          <w:b/>
          <w:bCs/>
          <w:sz w:val="21"/>
          <w:szCs w:val="21"/>
        </w:rPr>
        <w:t xml:space="preserve">Date:</w:t>
      </w:r>
      <w:r>
        <w:rPr>
          <w:rFonts w:ascii="Arial" w:cs="Arial" w:eastAsia="Arial" w:hAnsi="Arial"/>
          <w:sz w:val="21"/>
          <w:szCs w:val="21"/>
        </w:rPr>
        <w:t xml:space="preserve">	September 30, 2026</w:t>
      </w:r>
    </w:p>
    <w:p>
      <w:pPr>
        <w:pBdr>
          <w:bottom w:val="single" w:color="1F3864" w:sz="8" w:space="4"/>
        </w:pBdr>
        <w:tabs>
          <w:tab w:val="left" w:pos="1100"/>
        </w:tabs>
        <w:spacing w:after="160"/>
        <w:ind w:left="1100" w:hanging="1100"/>
      </w:pPr>
      <w:r>
        <w:rPr>
          <w:rFonts w:ascii="Arial" w:cs="Arial" w:eastAsia="Arial" w:hAnsi="Arial"/>
          <w:b/>
          <w:bCs/>
          <w:sz w:val="21"/>
          <w:szCs w:val="21"/>
        </w:rPr>
        <w:t xml:space="preserve">Re:</w:t>
      </w:r>
      <w:r>
        <w:rPr>
          <w:rFonts w:ascii="Arial" w:cs="Arial" w:eastAsia="Arial" w:hAnsi="Arial"/>
          <w:sz w:val="21"/>
          <w:szCs w:val="21"/>
        </w:rPr>
        <w:t xml:space="preserve">	SpaceX's dependency on GPU supply, with NVIDIA's customer concentration and stake as context</w:t>
      </w:r>
    </w:p>
    <w:p>
      <w:pPr>
        <w:pStyle w:val="Heading1"/>
        <w:spacing w:after="100" w:before="240"/>
      </w:pPr>
      <w:r>
        <w:rPr>
          <w:rFonts w:ascii="Arial" w:cs="Arial" w:eastAsia="Arial" w:hAnsi="Arial"/>
          <w:b/>
          <w:bCs/>
          <w:color w:val="1F3864"/>
          <w:sz w:val="24"/>
          <w:szCs w:val="24"/>
        </w:rPr>
        <w:t xml:space="preserve">1. The dependency</w:t>
      </w:r>
    </w:p>
    <w:p>
      <w:pPr>
        <w:spacing w:after="120" w:line="264"/>
      </w:pPr>
      <w:r>
        <w:rPr>
          <w:rFonts w:ascii="Arial" w:cs="Arial" w:eastAsia="Arial" w:hAnsi="Arial"/>
          <w:b w:val="false"/>
          <w:bCs w:val="false"/>
          <w:sz w:val="21"/>
          <w:szCs w:val="21"/>
        </w:rPr>
        <w:t xml:space="preserve">SpaceX's AI segment depends on GPUs made by a small number of qualified suppliers, and SpaceX says it has no long-term or other material contracts with its direct chip suppliers, procuring all of its GPUs on a purchase-order basis </w:t>
      </w:r>
      <w:hyperlink w:history="1" r:id="rIdx-qvv2kzvdqkjabktyywu">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 Those suppliers rely on a concentrated group of chip fabrication plants, and SpaceX warns that suppliers may prioritize other customers, including SpaceX's competitors, raise prices on short notice, require prepayments, or delay deliveries </w:t>
      </w:r>
      <w:hyperlink w:history="1" r:id="rIdpagxvdcdb46q1dsyieb9l">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 SpaceX is also a seller of GPU capacity: the capacity contracted to Anthropic includes about 325,000 NVIDIA GPUs at $1.25 billion per month </w:t>
      </w:r>
      <w:hyperlink w:history="1" r:id="rId5lvjlwfs_lvbtxwv243dr">
        <w:r>
          <w:rPr>
            <w:rFonts w:ascii="Arial" w:cs="Arial" w:eastAsia="Arial" w:hAnsi="Arial"/>
            <w:color w:val="0563C1"/>
            <w:sz w:val="21"/>
            <w:szCs w:val="21"/>
            <w:u w:val="single"/>
          </w:rPr>
          <w:t xml:space="preserve">[424B4 Business]</w:t>
        </w:r>
      </w:hyperlink>
      <w:r>
        <w:rPr>
          <w:rFonts w:ascii="Arial" w:cs="Arial" w:eastAsia="Arial" w:hAnsi="Arial"/>
          <w:b w:val="false"/>
          <w:bCs w:val="false"/>
          <w:sz w:val="21"/>
          <w:szCs w:val="21"/>
        </w:rPr>
        <w:t xml:space="preserve">, and the Google agreement covers about 110,000 NVIDIA GPUs at $920 million per month </w:t>
      </w:r>
      <w:hyperlink w:history="1" r:id="rId8mcfwnlwxvpqycbgrvlvo">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 </w:t>
      </w:r>
      <w:hyperlink w:history="1" r:id="rIdcxmd4z7s0o0zzwkjbgv-4">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 Google may terminate if SpaceX does not deliver the committed GPUs by September 30, 2026 (after a one-month grace period), or accept fewer GPUs at a pro rata lower fee </w:t>
      </w:r>
      <w:hyperlink w:history="1" r:id="rIdkluk6k_onr3dzx0s4bxjh">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 SpaceX also says that orbital AI at scale needs significantly more chips than it has today, and that its in-house chip project, Terafab, may not succeed </w:t>
      </w:r>
      <w:hyperlink w:history="1" r:id="rIdsqjzjeju5g6-e7ro2bile">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 In short, SpaceX needs outside chip supply both to build and to honor its revenue contracts, and it has not secured that supply under long-term contract.</w:t>
      </w:r>
    </w:p>
    <w:p>
      <w:pPr>
        <w:pStyle w:val="Heading1"/>
        <w:spacing w:after="100" w:before="240"/>
      </w:pPr>
      <w:r>
        <w:rPr>
          <w:rFonts w:ascii="Arial" w:cs="Arial" w:eastAsia="Arial" w:hAnsi="Arial"/>
          <w:b/>
          <w:bCs/>
          <w:color w:val="1F3864"/>
          <w:sz w:val="24"/>
          <w:szCs w:val="24"/>
        </w:rPr>
        <w:t xml:space="preserve">2. What SpaceX has contracted, and what it has not</w:t>
      </w:r>
    </w:p>
    <w:p>
      <w:pPr>
        <w:spacing w:after="80"/>
      </w:pPr>
      <w:r>
        <w:rPr>
          <w:rFonts w:ascii="Arial" w:cs="Arial" w:eastAsia="Arial" w:hAnsi="Arial"/>
          <w:b/>
          <w:bCs/>
          <w:sz w:val="21"/>
          <w:szCs w:val="21"/>
        </w:rPr>
        <w:t xml:space="preserve">Compute SpaceX has sold.</w:t>
      </w:r>
      <w:r>
        <w:rPr>
          <w:rFonts w:ascii="Arial" w:cs="Arial" w:eastAsia="Arial" w:hAnsi="Arial"/>
          <w:b w:val="false"/>
          <w:bCs w:val="false"/>
          <w:sz w:val="21"/>
          <w:szCs w:val="21"/>
        </w:rPr>
        <w:t xml:space="preserve"> Dates are as disclosed in the cited passages.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50"/>
        <w:gridCol w:w="1900"/>
        <w:gridCol w:w="2850"/>
        <w:gridCol w:w="3260"/>
      </w:tblGrid>
      <w:tr>
        <w:trPr>
          <w:cantSplit/>
          <w:tblHeader/>
        </w:trPr>
        <w:tc>
          <w:tcPr>
            <w:tcW w:type="dxa" w:w="1350"/>
            <w:tcBorders>
              <w:top w:val="single" w:color="BFBFBF" w:sz="4"/>
              <w:left w:val="single" w:color="BFBFBF" w:sz="4"/>
              <w:bottom w:val="single" w:color="BFBFBF" w:sz="4"/>
              <w:right w:val="single" w:color="BFBFBF" w:sz="4"/>
            </w:tcBorders>
            <w:shd w:fill="E7ECF4" w:color="auto" w:val="clear"/>
            <w:tcMar>
              <w:top w:type="dxa" w:w="60"/>
              <w:left w:type="dxa" w:w="90"/>
              <w:bottom w:type="dxa" w:w="60"/>
              <w:right w:type="dxa" w:w="90"/>
            </w:tcMar>
          </w:tcPr>
          <w:p>
            <w:pPr>
              <w:spacing w:after="0" w:line="245"/>
            </w:pPr>
            <w:r>
              <w:rPr>
                <w:rFonts w:ascii="Arial" w:cs="Arial" w:eastAsia="Arial" w:hAnsi="Arial"/>
                <w:b/>
                <w:bCs/>
                <w:sz w:val="17"/>
                <w:szCs w:val="17"/>
              </w:rPr>
              <w:t xml:space="preserve">Counterparty</w:t>
            </w:r>
          </w:p>
        </w:tc>
        <w:tc>
          <w:tcPr>
            <w:tcW w:type="dxa" w:w="1900"/>
            <w:tcBorders>
              <w:top w:val="single" w:color="BFBFBF" w:sz="4"/>
              <w:left w:val="single" w:color="BFBFBF" w:sz="4"/>
              <w:bottom w:val="single" w:color="BFBFBF" w:sz="4"/>
              <w:right w:val="single" w:color="BFBFBF" w:sz="4"/>
            </w:tcBorders>
            <w:shd w:fill="E7ECF4" w:color="auto" w:val="clear"/>
            <w:tcMar>
              <w:top w:type="dxa" w:w="60"/>
              <w:left w:type="dxa" w:w="90"/>
              <w:bottom w:type="dxa" w:w="60"/>
              <w:right w:type="dxa" w:w="90"/>
            </w:tcMar>
          </w:tcPr>
          <w:p>
            <w:pPr>
              <w:spacing w:after="0" w:line="245"/>
            </w:pPr>
            <w:r>
              <w:rPr>
                <w:rFonts w:ascii="Arial" w:cs="Arial" w:eastAsia="Arial" w:hAnsi="Arial"/>
                <w:b/>
                <w:bCs/>
                <w:sz w:val="17"/>
                <w:szCs w:val="17"/>
              </w:rPr>
              <w:t xml:space="preserve">Capacity</w:t>
            </w:r>
          </w:p>
        </w:tc>
        <w:tc>
          <w:tcPr>
            <w:tcW w:type="dxa" w:w="2850"/>
            <w:tcBorders>
              <w:top w:val="single" w:color="BFBFBF" w:sz="4"/>
              <w:left w:val="single" w:color="BFBFBF" w:sz="4"/>
              <w:bottom w:val="single" w:color="BFBFBF" w:sz="4"/>
              <w:right w:val="single" w:color="BFBFBF" w:sz="4"/>
            </w:tcBorders>
            <w:shd w:fill="E7ECF4" w:color="auto" w:val="clear"/>
            <w:tcMar>
              <w:top w:type="dxa" w:w="60"/>
              <w:left w:type="dxa" w:w="90"/>
              <w:bottom w:type="dxa" w:w="60"/>
              <w:right w:type="dxa" w:w="90"/>
            </w:tcMar>
          </w:tcPr>
          <w:p>
            <w:pPr>
              <w:spacing w:after="0" w:line="245"/>
            </w:pPr>
            <w:r>
              <w:rPr>
                <w:rFonts w:ascii="Arial" w:cs="Arial" w:eastAsia="Arial" w:hAnsi="Arial"/>
                <w:b/>
                <w:bCs/>
                <w:sz w:val="17"/>
                <w:szCs w:val="17"/>
              </w:rPr>
              <w:t xml:space="preserve">Fee and term</w:t>
            </w:r>
          </w:p>
        </w:tc>
        <w:tc>
          <w:tcPr>
            <w:tcW w:type="dxa" w:w="3260"/>
            <w:tcBorders>
              <w:top w:val="single" w:color="BFBFBF" w:sz="4"/>
              <w:left w:val="single" w:color="BFBFBF" w:sz="4"/>
              <w:bottom w:val="single" w:color="BFBFBF" w:sz="4"/>
              <w:right w:val="single" w:color="BFBFBF" w:sz="4"/>
            </w:tcBorders>
            <w:shd w:fill="E7ECF4" w:color="auto" w:val="clear"/>
            <w:tcMar>
              <w:top w:type="dxa" w:w="60"/>
              <w:left w:type="dxa" w:w="90"/>
              <w:bottom w:type="dxa" w:w="60"/>
              <w:right w:type="dxa" w:w="90"/>
            </w:tcMar>
          </w:tcPr>
          <w:p>
            <w:pPr>
              <w:spacing w:after="0" w:line="245"/>
            </w:pPr>
            <w:r>
              <w:rPr>
                <w:rFonts w:ascii="Arial" w:cs="Arial" w:eastAsia="Arial" w:hAnsi="Arial"/>
                <w:b/>
                <w:bCs/>
                <w:sz w:val="17"/>
                <w:szCs w:val="17"/>
              </w:rPr>
              <w:t xml:space="preserve">Cancellation</w:t>
            </w:r>
          </w:p>
        </w:tc>
      </w:tr>
      <w:tr>
        <w:trPr>
          <w:cantSplit/>
          <w:tblHeader w:val="false"/>
        </w:trPr>
        <w:tc>
          <w:tcPr>
            <w:tcW w:type="dxa" w:w="13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bCs/>
                <w:sz w:val="17"/>
                <w:szCs w:val="17"/>
              </w:rPr>
              <w:t xml:space="preserve">Anthropic</w:t>
            </w:r>
            <w:r>
              <w:rPr>
                <w:rFonts w:ascii="Arial" w:cs="Arial" w:eastAsia="Arial" w:hAnsi="Arial"/>
                <w:b w:val="false"/>
                <w:bCs w:val="false"/>
                <w:sz w:val="17"/>
                <w:szCs w:val="17"/>
              </w:rPr>
              <w:t xml:space="preserve"> (May 2026)</w:t>
            </w:r>
          </w:p>
        </w:tc>
        <w:tc>
          <w:tcPr>
            <w:tcW w:type="dxa" w:w="1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About 325,000 NVIDIA GPUs across COLOSSUS and COLOSSUS II </w:t>
            </w:r>
            <w:hyperlink w:history="1" r:id="rIdpgmv7kuxaakjr30yacmqn">
              <w:r>
                <w:rPr>
                  <w:rFonts w:ascii="Arial" w:cs="Arial" w:eastAsia="Arial" w:hAnsi="Arial"/>
                  <w:color w:val="0563C1"/>
                  <w:sz w:val="17"/>
                  <w:szCs w:val="17"/>
                  <w:u w:val="single"/>
                </w:rPr>
                <w:t xml:space="preserve">[424B4 Business]</w:t>
              </w:r>
            </w:hyperlink>
          </w:p>
        </w:tc>
        <w:tc>
          <w:tcPr>
            <w:tcW w:type="dxa" w:w="2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$1.25 billion per month through May 2029; reduced fee while ramping in May and June 2026 </w:t>
            </w:r>
            <w:hyperlink w:history="1" r:id="rIdnzeomqf8vs2cbuc8xc4py">
              <w:r>
                <w:rPr>
                  <w:rFonts w:ascii="Arial" w:cs="Arial" w:eastAsia="Arial" w:hAnsi="Arial"/>
                  <w:color w:val="0563C1"/>
                  <w:sz w:val="17"/>
                  <w:szCs w:val="17"/>
                  <w:u w:val="single"/>
                </w:rPr>
                <w:t xml:space="preserve">[424B4 Business]</w:t>
              </w:r>
            </w:hyperlink>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After an initial three-month period, either party may terminate on 90 days' notice </w:t>
            </w:r>
            <w:hyperlink w:history="1" r:id="rIdzzchdi7pd7i_mgxeg7mll">
              <w:r>
                <w:rPr>
                  <w:rFonts w:ascii="Arial" w:cs="Arial" w:eastAsia="Arial" w:hAnsi="Arial"/>
                  <w:color w:val="0563C1"/>
                  <w:sz w:val="17"/>
                  <w:szCs w:val="17"/>
                  <w:u w:val="single"/>
                </w:rPr>
                <w:t xml:space="preserve">[424B4 Business]</w:t>
              </w:r>
            </w:hyperlink>
            <w:r>
              <w:rPr>
                <w:rFonts w:ascii="Arial" w:cs="Arial" w:eastAsia="Arial" w:hAnsi="Arial"/>
                <w:b w:val="false"/>
                <w:bCs w:val="false"/>
                <w:sz w:val="17"/>
                <w:szCs w:val="17"/>
              </w:rPr>
              <w:t xml:space="preserve">. The financial-statement note describes one agreement dated May 3, 2026, with no dollar amount </w:t>
            </w:r>
            <w:hyperlink w:history="1" r:id="rIdsobt7ddslax8zv8mlga5y">
              <w:r>
                <w:rPr>
                  <w:rFonts w:ascii="Arial" w:cs="Arial" w:eastAsia="Arial" w:hAnsi="Arial"/>
                  <w:color w:val="0563C1"/>
                  <w:sz w:val="17"/>
                  <w:szCs w:val="17"/>
                  <w:u w:val="single"/>
                </w:rPr>
                <w:t xml:space="preserve">[424B4 note]</w:t>
              </w:r>
            </w:hyperlink>
            <w:r>
              <w:rPr>
                <w:rFonts w:ascii="Arial" w:cs="Arial" w:eastAsia="Arial" w:hAnsi="Arial"/>
                <w:b w:val="false"/>
                <w:bCs w:val="false"/>
                <w:sz w:val="17"/>
                <w:szCs w:val="17"/>
              </w:rPr>
              <w:t xml:space="preserve">.</w:t>
            </w:r>
          </w:p>
        </w:tc>
      </w:tr>
      <w:tr>
        <w:trPr>
          <w:cantSplit/>
          <w:tblHeader w:val="false"/>
        </w:trPr>
        <w:tc>
          <w:tcPr>
            <w:tcW w:type="dxa" w:w="13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bCs/>
                <w:sz w:val="17"/>
                <w:szCs w:val="17"/>
              </w:rPr>
              <w:t xml:space="preserve">Google</w:t>
            </w:r>
            <w:r>
              <w:rPr>
                <w:rFonts w:ascii="Arial" w:cs="Arial" w:eastAsia="Arial" w:hAnsi="Arial"/>
                <w:b w:val="false"/>
                <w:bCs w:val="false"/>
                <w:sz w:val="17"/>
                <w:szCs w:val="17"/>
              </w:rPr>
              <w:t xml:space="preserve"> (June 5, 2026)</w:t>
            </w:r>
          </w:p>
        </w:tc>
        <w:tc>
          <w:tcPr>
            <w:tcW w:type="dxa" w:w="1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About 110,000 NVIDIA GPUs, plus CPUs, memory and related components </w:t>
            </w:r>
            <w:hyperlink w:history="1" r:id="rId-u21pdt86zh6dz3k57v4k">
              <w:r>
                <w:rPr>
                  <w:rFonts w:ascii="Arial" w:cs="Arial" w:eastAsia="Arial" w:hAnsi="Arial"/>
                  <w:color w:val="0563C1"/>
                  <w:sz w:val="17"/>
                  <w:szCs w:val="17"/>
                  <w:u w:val="single"/>
                </w:rPr>
                <w:t xml:space="preserve">[FWP 6/5/26]</w:t>
              </w:r>
            </w:hyperlink>
          </w:p>
        </w:tc>
        <w:tc>
          <w:tcPr>
            <w:tcW w:type="dxa" w:w="2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$920 million per month from October 2026 through June 2029; reduced fee while ramping through September </w:t>
            </w:r>
            <w:hyperlink w:history="1" r:id="rIdopqqmum32bkfm9xt-by86">
              <w:r>
                <w:rPr>
                  <w:rFonts w:ascii="Arial" w:cs="Arial" w:eastAsia="Arial" w:hAnsi="Arial"/>
                  <w:color w:val="0563C1"/>
                  <w:sz w:val="17"/>
                  <w:szCs w:val="17"/>
                  <w:u w:val="single"/>
                </w:rPr>
                <w:t xml:space="preserve">[FWP 6/5/26]</w:t>
              </w:r>
            </w:hyperlink>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If SpaceX has not delivered the committed GPUs by September 30, 2026, then after a one-month grace period Google may terminate immediately or accept the GPUs delivered at a pro rata lower fee. After December 31, 2026, either party may terminate on 90 days' notice </w:t>
            </w:r>
            <w:hyperlink w:history="1" r:id="rId_niyxsvvuoptkn3dxdyuu">
              <w:r>
                <w:rPr>
                  <w:rFonts w:ascii="Arial" w:cs="Arial" w:eastAsia="Arial" w:hAnsi="Arial"/>
                  <w:color w:val="0563C1"/>
                  <w:sz w:val="17"/>
                  <w:szCs w:val="17"/>
                  <w:u w:val="single"/>
                </w:rPr>
                <w:t xml:space="preserve">[FWP 6/5/26]</w:t>
              </w:r>
            </w:hyperlink>
            <w:r>
              <w:rPr>
                <w:rFonts w:ascii="Arial" w:cs="Arial" w:eastAsia="Arial" w:hAnsi="Arial"/>
                <w:b w:val="false"/>
                <w:bCs w:val="false"/>
                <w:sz w:val="17"/>
                <w:szCs w:val="17"/>
              </w:rPr>
              <w:t xml:space="preserve">.</w:t>
            </w:r>
          </w:p>
        </w:tc>
      </w:tr>
      <w:tr>
        <w:trPr>
          <w:cantSplit/>
          <w:tblHeader w:val="false"/>
        </w:trPr>
        <w:tc>
          <w:tcPr>
            <w:tcW w:type="dxa" w:w="13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bCs/>
                <w:sz w:val="17"/>
                <w:szCs w:val="17"/>
              </w:rPr>
              <w:t xml:space="preserve">Cursor</w:t>
            </w:r>
            <w:r>
              <w:rPr>
                <w:rFonts w:ascii="Arial" w:cs="Arial" w:eastAsia="Arial" w:hAnsi="Arial"/>
                <w:b w:val="false"/>
                <w:bCs w:val="false"/>
                <w:sz w:val="17"/>
                <w:szCs w:val="17"/>
              </w:rPr>
              <w:t xml:space="preserve"> (compute agreement)</w:t>
            </w:r>
          </w:p>
        </w:tc>
        <w:tc>
          <w:tcPr>
            <w:tcW w:type="dxa" w:w="1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SpaceX says it provides Cursor access to its compute infrastructure; no GPU count found </w:t>
            </w:r>
            <w:hyperlink w:history="1" r:id="rIdoudtsux_zlkdtheanpf4c">
              <w:r>
                <w:rPr>
                  <w:rFonts w:ascii="Arial" w:cs="Arial" w:eastAsia="Arial" w:hAnsi="Arial"/>
                  <w:color w:val="0563C1"/>
                  <w:sz w:val="17"/>
                  <w:szCs w:val="17"/>
                  <w:u w:val="single"/>
                </w:rPr>
                <w:t xml:space="preserve">[424B4 Summary]</w:t>
              </w:r>
            </w:hyperlink>
          </w:p>
        </w:tc>
        <w:tc>
          <w:tcPr>
            <w:tcW w:type="dxa" w:w="2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An $8.5 billion deferred services fee under the compute agreement; no monthly fee or term found </w:t>
            </w:r>
            <w:hyperlink w:history="1" r:id="rIdpgv78vv4-7bhuk8frdf81">
              <w:r>
                <w:rPr>
                  <w:rFonts w:ascii="Arial" w:cs="Arial" w:eastAsia="Arial" w:hAnsi="Arial"/>
                  <w:color w:val="0563C1"/>
                  <w:sz w:val="17"/>
                  <w:szCs w:val="17"/>
                  <w:u w:val="single"/>
                </w:rPr>
                <w:t xml:space="preserve">[424B4 note]</w:t>
              </w:r>
            </w:hyperlink>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line="245"/>
            </w:pPr>
            <w:r>
              <w:rPr>
                <w:rFonts w:ascii="Arial" w:cs="Arial" w:eastAsia="Arial" w:hAnsi="Arial"/>
                <w:b w:val="false"/>
                <w:bCs w:val="false"/>
                <w:sz w:val="17"/>
                <w:szCs w:val="17"/>
              </w:rPr>
              <w:t xml:space="preserve">Cursor is entitled to the $8.5 billion fee (and a separate $1.5 billion option-agreement fee) if SpaceX terminates the option agreement, or if Cursor terminates for SpaceX's uncured material breach </w:t>
            </w:r>
            <w:hyperlink w:history="1" r:id="rIdql3bvvk_y_vtgz1uuq6fz">
              <w:r>
                <w:rPr>
                  <w:rFonts w:ascii="Arial" w:cs="Arial" w:eastAsia="Arial" w:hAnsi="Arial"/>
                  <w:color w:val="0563C1"/>
                  <w:sz w:val="17"/>
                  <w:szCs w:val="17"/>
                  <w:u w:val="single"/>
                </w:rPr>
                <w:t xml:space="preserve">[424B4 note]</w:t>
              </w:r>
            </w:hyperlink>
            <w:r>
              <w:rPr>
                <w:rFonts w:ascii="Arial" w:cs="Arial" w:eastAsia="Arial" w:hAnsi="Arial"/>
                <w:b w:val="false"/>
                <w:bCs w:val="false"/>
                <w:sz w:val="17"/>
                <w:szCs w:val="17"/>
              </w:rPr>
              <w:t xml:space="preserve">.</w:t>
            </w:r>
          </w:p>
        </w:tc>
      </w:tr>
    </w:tbl>
    <w:p>
      <w:pPr>
        <w:spacing w:after="80"/>
      </w:pPr>
    </w:p>
    <w:p>
      <w:pPr>
        <w:spacing w:after="120" w:line="264"/>
      </w:pPr>
      <w:r>
        <w:rPr>
          <w:rFonts w:ascii="Arial" w:cs="Arial" w:eastAsia="Arial" w:hAnsi="Arial"/>
          <w:b/>
          <w:bCs/>
          <w:sz w:val="21"/>
          <w:szCs w:val="21"/>
        </w:rPr>
        <w:t xml:space="preserve">Related disclosure in the 10-Q.</w:t>
      </w:r>
      <w:r>
        <w:rPr>
          <w:rFonts w:ascii="Arial" w:cs="Arial" w:eastAsia="Arial" w:hAnsi="Arial"/>
          <w:b w:val="false"/>
          <w:bCs w:val="false"/>
          <w:sz w:val="21"/>
          <w:szCs w:val="21"/>
        </w:rPr>
        <w:t xml:space="preserve"> SpaceX says a significant portion of its AI infrastructure revenue is concentrated in a small number of customers, and that its cloud services agreements generally allow either party to terminate on 90 days' notice after an initial ramp period </w:t>
      </w:r>
      <w:hyperlink w:history="1" r:id="rIdh1afrybvud5pw1c4t9ehd">
        <w:r>
          <w:rPr>
            <w:rFonts w:ascii="Arial" w:cs="Arial" w:eastAsia="Arial" w:hAnsi="Arial"/>
            <w:color w:val="0563C1"/>
            <w:sz w:val="21"/>
            <w:szCs w:val="21"/>
            <w:u w:val="single"/>
          </w:rPr>
          <w:t xml:space="preserve">[10-Q Item 1A]</w:t>
        </w:r>
      </w:hyperlink>
      <w:r>
        <w:rPr>
          <w:rFonts w:ascii="Arial" w:cs="Arial" w:eastAsia="Arial" w:hAnsi="Arial"/>
          <w:b w:val="false"/>
          <w:bCs w:val="false"/>
          <w:sz w:val="21"/>
          <w:szCs w:val="21"/>
        </w:rPr>
        <w:t xml:space="preserve">.</w:t>
      </w:r>
    </w:p>
    <w:p>
      <w:pPr>
        <w:spacing w:after="60"/>
      </w:pPr>
      <w:r>
        <w:rPr>
          <w:rFonts w:ascii="Arial" w:cs="Arial" w:eastAsia="Arial" w:hAnsi="Arial"/>
          <w:b/>
          <w:bCs/>
          <w:sz w:val="21"/>
          <w:szCs w:val="21"/>
        </w:rPr>
        <w:t xml:space="preserve">Compute and hardware SpaceX has committed to buy or lease.</w:t>
      </w:r>
    </w:p>
    <w:p>
      <w:pPr>
        <w:pStyle w:val="ListParagraph"/>
        <w:numPr>
          <w:ilvl w:val="0"/>
          <w:numId w:val="2"/>
        </w:numPr>
        <w:spacing w:after="80" w:line="259"/>
      </w:pPr>
      <w:r>
        <w:rPr>
          <w:rFonts w:ascii="Arial" w:cs="Arial" w:eastAsia="Arial" w:hAnsi="Arial"/>
          <w:b w:val="false"/>
          <w:bCs w:val="false"/>
          <w:sz w:val="21"/>
          <w:szCs w:val="21"/>
        </w:rPr>
        <w:t xml:space="preserve">Non-cancellable, multi-year capacity commitments to cloud compute providers, requiring payment regardless of usage </w:t>
      </w:r>
      <w:hyperlink w:history="1" r:id="rId0xu5dnwocrvuisc5mshtx">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 Total non-cancelable contractual commitments were $27,955 million at June 30, 2026, primarily AI infrastructure and third-party cloud capacity and other services; the total also includes spectrum-transaction commitments </w:t>
      </w:r>
      <w:hyperlink w:history="1" r:id="rIdahi90_lsgeybqcan9mth8">
        <w:r>
          <w:rPr>
            <w:rFonts w:ascii="Arial" w:cs="Arial" w:eastAsia="Arial" w:hAnsi="Arial"/>
            <w:color w:val="0563C1"/>
            <w:sz w:val="21"/>
            <w:szCs w:val="21"/>
            <w:u w:val="single"/>
          </w:rPr>
          <w:t xml:space="preserve">[10-Q Note 16]</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val="false"/>
          <w:bCs w:val="false"/>
          <w:sz w:val="21"/>
          <w:szCs w:val="21"/>
        </w:rPr>
        <w:t xml:space="preserve">A five-year equipment lease with Valor, a related party, for AI infrastructure hardware, with total undiscounted lease payments of $6,587 million </w:t>
      </w:r>
      <w:hyperlink w:history="1" r:id="rIdf72mmgqve2xsajorrlqvb">
        <w:r>
          <w:rPr>
            <w:rFonts w:ascii="Arial" w:cs="Arial" w:eastAsia="Arial" w:hAnsi="Arial"/>
            <w:color w:val="0563C1"/>
            <w:sz w:val="21"/>
            <w:szCs w:val="21"/>
            <w:u w:val="single"/>
          </w:rPr>
          <w:t xml:space="preserve">[424B4 note]</w:t>
        </w:r>
      </w:hyperlink>
      <w:r>
        <w:rPr>
          <w:rFonts w:ascii="Arial" w:cs="Arial" w:eastAsia="Arial" w:hAnsi="Arial"/>
          <w:b w:val="false"/>
          <w:bCs w:val="false"/>
          <w:sz w:val="21"/>
          <w:szCs w:val="21"/>
        </w:rPr>
        <w:t xml:space="preserve">.</w:t>
      </w:r>
    </w:p>
    <w:p>
      <w:pPr>
        <w:spacing w:after="60" w:before="100"/>
      </w:pPr>
      <w:r>
        <w:rPr>
          <w:rFonts w:ascii="Arial" w:cs="Arial" w:eastAsia="Arial" w:hAnsi="Arial"/>
          <w:b/>
          <w:bCs/>
          <w:sz w:val="21"/>
          <w:szCs w:val="21"/>
        </w:rPr>
        <w:t xml:space="preserve">What SpaceX has not contracted.</w:t>
      </w:r>
    </w:p>
    <w:p>
      <w:pPr>
        <w:pStyle w:val="ListParagraph"/>
        <w:numPr>
          <w:ilvl w:val="0"/>
          <w:numId w:val="2"/>
        </w:numPr>
        <w:spacing w:after="80" w:line="259"/>
      </w:pPr>
      <w:r>
        <w:rPr>
          <w:rFonts w:ascii="Arial" w:cs="Arial" w:eastAsia="Arial" w:hAnsi="Arial"/>
          <w:b w:val="false"/>
          <w:bCs w:val="false"/>
          <w:sz w:val="21"/>
          <w:szCs w:val="21"/>
        </w:rPr>
        <w:t xml:space="preserve">A long-term supply contract with its direct chip suppliers: SpaceX says it has none </w:t>
      </w:r>
      <w:hyperlink w:history="1" r:id="rIdios0ztkhjz3e8bvnreyj5">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val="false"/>
          <w:bCs w:val="false"/>
          <w:sz w:val="21"/>
          <w:szCs w:val="21"/>
        </w:rPr>
        <w:t xml:space="preserve">Secure in-house supply: Terafab is meant to expand internal chip manufacturing, but SpaceX says it may not succeed, that it cannot assure Terafab will meet its goals on time or at all, and that it expects to keep sourcing a significant portion of its compute hardware from third parties. Its framework agreement with Tesla does not bind Tesla or Intel to remain in the project, and definitive agreements may not follow </w:t>
      </w:r>
      <w:hyperlink w:history="1" r:id="rIdjr4qaofbmyraff1cjx6th">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val="false"/>
          <w:bCs w:val="false"/>
          <w:sz w:val="21"/>
          <w:szCs w:val="21"/>
        </w:rPr>
        <w:t xml:space="preserve">No update to this picture appears in the 10-Q, which says there were no material changes to the prospectus risk factors other than the new AI-infrastructure factor above </w:t>
      </w:r>
      <w:hyperlink w:history="1" r:id="rIdd04xgvoqbgeim1w33aqau">
        <w:r>
          <w:rPr>
            <w:rFonts w:ascii="Arial" w:cs="Arial" w:eastAsia="Arial" w:hAnsi="Arial"/>
            <w:color w:val="0563C1"/>
            <w:sz w:val="21"/>
            <w:szCs w:val="21"/>
            <w:u w:val="single"/>
          </w:rPr>
          <w:t xml:space="preserve">[10-Q Item 1A]</w:t>
        </w:r>
      </w:hyperlink>
      <w:r>
        <w:rPr>
          <w:rFonts w:ascii="Arial" w:cs="Arial" w:eastAsia="Arial" w:hAnsi="Arial"/>
          <w:b w:val="false"/>
          <w:bCs w:val="false"/>
          <w:sz w:val="21"/>
          <w:szCs w:val="21"/>
        </w:rPr>
        <w:t xml:space="preserve">.</w:t>
      </w:r>
    </w:p>
    <w:p>
      <w:pPr>
        <w:pStyle w:val="Heading1"/>
        <w:spacing w:after="100" w:before="240"/>
      </w:pPr>
      <w:r>
        <w:rPr>
          <w:rFonts w:ascii="Arial" w:cs="Arial" w:eastAsia="Arial" w:hAnsi="Arial"/>
          <w:b/>
          <w:bCs/>
          <w:color w:val="1F3864"/>
          <w:sz w:val="24"/>
          <w:szCs w:val="24"/>
        </w:rPr>
        <w:t xml:space="preserve">3. NVIDIA context: customer concentration and the SpaceX stake</w:t>
      </w:r>
    </w:p>
    <w:p>
      <w:pPr>
        <w:spacing w:after="120" w:line="264"/>
      </w:pPr>
      <w:r>
        <w:rPr>
          <w:rFonts w:ascii="Arial" w:cs="Arial" w:eastAsia="Arial" w:hAnsi="Arial"/>
          <w:b/>
          <w:bCs/>
          <w:sz w:val="21"/>
          <w:szCs w:val="21"/>
        </w:rPr>
        <w:t xml:space="preserve">Concentration.</w:t>
      </w:r>
      <w:r>
        <w:rPr>
          <w:rFonts w:ascii="Arial" w:cs="Arial" w:eastAsia="Arial" w:hAnsi="Arial"/>
          <w:b w:val="false"/>
          <w:bCs w:val="false"/>
          <w:sz w:val="21"/>
          <w:szCs w:val="21"/>
        </w:rPr>
        <w:t xml:space="preserve"> NVIDIA's revenue is concentrated in a few direct customers. One direct customer was 13% of FY2024 revenue, three were 12%, 11% and 11% in FY2025, and two were 22% and 14% in FY2026 </w:t>
      </w:r>
      <w:hyperlink w:history="1" r:id="rIdygowkotao62g-dkkm7git">
        <w:r>
          <w:rPr>
            <w:rFonts w:ascii="Arial" w:cs="Arial" w:eastAsia="Arial" w:hAnsi="Arial"/>
            <w:color w:val="0563C1"/>
            <w:sz w:val="21"/>
            <w:szCs w:val="21"/>
            <w:u w:val="single"/>
          </w:rPr>
          <w:t xml:space="preserve">[NVIDIA FY2026 10-K]</w:t>
        </w:r>
      </w:hyperlink>
      <w:r>
        <w:rPr>
          <w:rFonts w:ascii="Arial" w:cs="Arial" w:eastAsia="Arial" w:hAnsi="Arial"/>
          <w:b w:val="false"/>
          <w:bCs w:val="false"/>
          <w:sz w:val="21"/>
          <w:szCs w:val="21"/>
        </w:rPr>
        <w:t xml:space="preserve">. In fiscal 2027, three customers were 21%, 17% and 16% of Q1 revenue </w:t>
      </w:r>
      <w:hyperlink w:history="1" r:id="rId2fhk1uzbz8qstaq4fwame">
        <w:r>
          <w:rPr>
            <w:rFonts w:ascii="Arial" w:cs="Arial" w:eastAsia="Arial" w:hAnsi="Arial"/>
            <w:color w:val="0563C1"/>
            <w:sz w:val="21"/>
            <w:szCs w:val="21"/>
            <w:u w:val="single"/>
          </w:rPr>
          <w:t xml:space="preserve">[NVIDIA Q1 10-Q]</w:t>
        </w:r>
      </w:hyperlink>
      <w:r>
        <w:rPr>
          <w:rFonts w:ascii="Arial" w:cs="Arial" w:eastAsia="Arial" w:hAnsi="Arial"/>
          <w:b w:val="false"/>
          <w:bCs w:val="false"/>
          <w:sz w:val="21"/>
          <w:szCs w:val="21"/>
        </w:rPr>
        <w:t xml:space="preserve">, and one customer was 16% of Q2 revenue </w:t>
      </w:r>
      <w:hyperlink w:history="1" r:id="rIdui4_mcjhjjkwi5qhpwox3">
        <w:r>
          <w:rPr>
            <w:rFonts w:ascii="Arial" w:cs="Arial" w:eastAsia="Arial" w:hAnsi="Arial"/>
            <w:color w:val="0563C1"/>
            <w:sz w:val="21"/>
            <w:szCs w:val="21"/>
            <w:u w:val="single"/>
          </w:rPr>
          <w:t xml:space="preserve">[NVIDIA Q2 10-Q]</w:t>
        </w:r>
      </w:hyperlink>
      <w:r>
        <w:rPr>
          <w:rFonts w:ascii="Arial" w:cs="Arial" w:eastAsia="Arial" w:hAnsi="Arial"/>
          <w:b w:val="false"/>
          <w:bCs w:val="false"/>
          <w:sz w:val="21"/>
          <w:szCs w:val="21"/>
        </w:rPr>
        <w:t xml:space="preserve">. NVIDIA describes these customers only by percentage, and its definition of direct customers now includes cloud service providers and AI model makers </w:t>
      </w:r>
      <w:hyperlink w:history="1" r:id="rIdzb2xizej8q4ej2cpfu_n4">
        <w:r>
          <w:rPr>
            <w:rFonts w:ascii="Arial" w:cs="Arial" w:eastAsia="Arial" w:hAnsi="Arial"/>
            <w:color w:val="0563C1"/>
            <w:sz w:val="21"/>
            <w:szCs w:val="21"/>
            <w:u w:val="single"/>
          </w:rPr>
          <w:t xml:space="preserve">[NVIDIA FY2026 10-K]</w:t>
        </w:r>
      </w:hyperlink>
      <w:r>
        <w:rPr>
          <w:rFonts w:ascii="Arial" w:cs="Arial" w:eastAsia="Arial" w:hAnsi="Arial"/>
          <w:b w:val="false"/>
          <w:bCs w:val="false"/>
          <w:sz w:val="21"/>
          <w:szCs w:val="21"/>
        </w:rPr>
        <w:t xml:space="preserve">.</w:t>
      </w:r>
    </w:p>
    <w:p>
      <w:pPr>
        <w:spacing w:after="120" w:line="264"/>
      </w:pPr>
      <w:r>
        <w:rPr>
          <w:rFonts w:ascii="Arial" w:cs="Arial" w:eastAsia="Arial" w:hAnsi="Arial"/>
          <w:b/>
          <w:bCs/>
          <w:sz w:val="21"/>
          <w:szCs w:val="21"/>
        </w:rPr>
        <w:t xml:space="preserve">The stake.</w:t>
      </w:r>
      <w:r>
        <w:rPr>
          <w:rFonts w:ascii="Arial" w:cs="Arial" w:eastAsia="Arial" w:hAnsi="Arial"/>
          <w:b w:val="false"/>
          <w:bCs w:val="false"/>
          <w:sz w:val="21"/>
          <w:szCs w:val="21"/>
        </w:rPr>
        <w:t xml:space="preserve"> NVIDIA's 13F for the quarter ended June 30, 2026 reports 122,764,805 SpaceX Class A shares valued at $20,975,594,582, with sole voting and investment discretion, within total reported holdings of $63,439,974,569 across eight positions </w:t>
      </w:r>
      <w:hyperlink w:history="1" r:id="rIdeurge7asuwi6m9plusikg">
        <w:r>
          <w:rPr>
            <w:rFonts w:ascii="Arial" w:cs="Arial" w:eastAsia="Arial" w:hAnsi="Arial"/>
            <w:color w:val="0563C1"/>
            <w:sz w:val="21"/>
            <w:szCs w:val="21"/>
            <w:u w:val="single"/>
          </w:rPr>
          <w:t xml:space="preserve">[NVIDIA 13F filing]</w:t>
        </w:r>
      </w:hyperlink>
      <w:r>
        <w:rPr>
          <w:rFonts w:ascii="Arial" w:cs="Arial" w:eastAsia="Arial" w:hAnsi="Arial"/>
          <w:b w:val="false"/>
          <w:bCs w:val="false"/>
          <w:sz w:val="21"/>
          <w:szCs w:val="21"/>
        </w:rPr>
        <w:t xml:space="preserve">. NVIDIA is not among the four holders on record that filed Schedule 13Gs on SpaceX: Musk (48.4%) </w:t>
      </w:r>
      <w:hyperlink w:history="1" r:id="rIdxxebkichvoogt40xfhdwt">
        <w:r>
          <w:rPr>
            <w:rFonts w:ascii="Arial" w:cs="Arial" w:eastAsia="Arial" w:hAnsi="Arial"/>
            <w:color w:val="0563C1"/>
            <w:sz w:val="21"/>
            <w:szCs w:val="21"/>
            <w:u w:val="single"/>
          </w:rPr>
          <w:t xml:space="preserve">[13G]</w:t>
        </w:r>
      </w:hyperlink>
      <w:r>
        <w:rPr>
          <w:rFonts w:ascii="Arial" w:cs="Arial" w:eastAsia="Arial" w:hAnsi="Arial"/>
          <w:b w:val="false"/>
          <w:bCs w:val="false"/>
          <w:sz w:val="21"/>
          <w:szCs w:val="21"/>
        </w:rPr>
        <w:t xml:space="preserve">, Alphabet (7.2%) </w:t>
      </w:r>
      <w:hyperlink w:history="1" r:id="rId1frgq5ycsgo7_omgufyjq">
        <w:r>
          <w:rPr>
            <w:rFonts w:ascii="Arial" w:cs="Arial" w:eastAsia="Arial" w:hAnsi="Arial"/>
            <w:color w:val="0563C1"/>
            <w:sz w:val="21"/>
            <w:szCs w:val="21"/>
            <w:u w:val="single"/>
          </w:rPr>
          <w:t xml:space="preserve">[13G]</w:t>
        </w:r>
      </w:hyperlink>
      <w:r>
        <w:rPr>
          <w:rFonts w:ascii="Arial" w:cs="Arial" w:eastAsia="Arial" w:hAnsi="Arial"/>
          <w:b w:val="false"/>
          <w:bCs w:val="false"/>
          <w:sz w:val="21"/>
          <w:szCs w:val="21"/>
        </w:rPr>
        <w:t xml:space="preserve">, Gracias (6.5%) </w:t>
      </w:r>
      <w:hyperlink w:history="1" r:id="rIdxd7dywmpnb-yvqfvyurcc">
        <w:r>
          <w:rPr>
            <w:rFonts w:ascii="Arial" w:cs="Arial" w:eastAsia="Arial" w:hAnsi="Arial"/>
            <w:color w:val="0563C1"/>
            <w:sz w:val="21"/>
            <w:szCs w:val="21"/>
            <w:u w:val="single"/>
          </w:rPr>
          <w:t xml:space="preserve">[13G]</w:t>
        </w:r>
      </w:hyperlink>
      <w:r>
        <w:rPr>
          <w:rFonts w:ascii="Arial" w:cs="Arial" w:eastAsia="Arial" w:hAnsi="Arial"/>
          <w:b w:val="false"/>
          <w:bCs w:val="false"/>
          <w:sz w:val="21"/>
          <w:szCs w:val="21"/>
        </w:rPr>
        <w:t xml:space="preserve"> and Thiel (5.5%) </w:t>
      </w:r>
      <w:hyperlink w:history="1" r:id="rIdtkn9pb81ctmhyizxb0ihk">
        <w:r>
          <w:rPr>
            <w:rFonts w:ascii="Arial" w:cs="Arial" w:eastAsia="Arial" w:hAnsi="Arial"/>
            <w:color w:val="0563C1"/>
            <w:sz w:val="21"/>
            <w:szCs w:val="21"/>
            <w:u w:val="single"/>
          </w:rPr>
          <w:t xml:space="preserve">[13G]</w:t>
        </w:r>
      </w:hyperlink>
      <w:r>
        <w:rPr>
          <w:rFonts w:ascii="Arial" w:cs="Arial" w:eastAsia="Arial" w:hAnsi="Arial"/>
          <w:b w:val="false"/>
          <w:bCs w:val="false"/>
          <w:sz w:val="21"/>
          <w:szCs w:val="21"/>
        </w:rPr>
        <w:t xml:space="preserve">.</w:t>
      </w:r>
    </w:p>
    <w:p>
      <w:pPr>
        <w:spacing w:after="60"/>
      </w:pPr>
      <w:r>
        <w:rPr>
          <w:rFonts w:ascii="Arial" w:cs="Arial" w:eastAsia="Arial" w:hAnsi="Arial"/>
          <w:b/>
          <w:bCs/>
          <w:sz w:val="21"/>
          <w:szCs w:val="21"/>
        </w:rPr>
        <w:t xml:space="preserve">What the stake does.</w:t>
      </w:r>
    </w:p>
    <w:p>
      <w:pPr>
        <w:pStyle w:val="ListParagraph"/>
        <w:numPr>
          <w:ilvl w:val="0"/>
          <w:numId w:val="2"/>
        </w:numPr>
        <w:spacing w:after="80" w:line="259"/>
      </w:pPr>
      <w:r>
        <w:rPr>
          <w:rFonts w:ascii="Arial" w:cs="Arial" w:eastAsia="Arial" w:hAnsi="Arial"/>
          <w:b w:val="false"/>
          <w:bCs w:val="false"/>
          <w:sz w:val="21"/>
          <w:szCs w:val="21"/>
        </w:rPr>
        <w:t xml:space="preserve">It establishes that NVIDIA is a shareholder of SpaceX with sole voting and investment power over its shares, and that the position was about a third of NVIDIA's reported 13F portfolio value at June 30 (our calculation from the figures above) </w:t>
      </w:r>
      <w:hyperlink w:history="1" r:id="rId__dcmp3vqikhcrqgkr1-o">
        <w:r>
          <w:rPr>
            <w:rFonts w:ascii="Arial" w:cs="Arial" w:eastAsia="Arial" w:hAnsi="Arial"/>
            <w:color w:val="0563C1"/>
            <w:sz w:val="21"/>
            <w:szCs w:val="21"/>
            <w:u w:val="single"/>
          </w:rPr>
          <w:t xml:space="preserve">[NVIDIA 13F filing]</w:t>
        </w:r>
      </w:hyperlink>
      <w:r>
        <w:rPr>
          <w:rFonts w:ascii="Arial" w:cs="Arial" w:eastAsia="Arial" w:hAnsi="Arial"/>
          <w:b w:val="false"/>
          <w:bCs w:val="false"/>
          <w:sz w:val="21"/>
          <w:szCs w:val="21"/>
        </w:rPr>
        <w:t xml:space="preserve">.</w:t>
      </w:r>
    </w:p>
    <w:p>
      <w:pPr>
        <w:spacing w:after="60" w:before="100"/>
      </w:pPr>
      <w:r>
        <w:rPr>
          <w:rFonts w:ascii="Arial" w:cs="Arial" w:eastAsia="Arial" w:hAnsi="Arial"/>
          <w:b/>
          <w:bCs/>
          <w:sz w:val="21"/>
          <w:szCs w:val="21"/>
        </w:rPr>
        <w:t xml:space="preserve">What the stake does not change.</w:t>
      </w:r>
    </w:p>
    <w:p>
      <w:pPr>
        <w:pStyle w:val="ListParagraph"/>
        <w:numPr>
          <w:ilvl w:val="0"/>
          <w:numId w:val="2"/>
        </w:numPr>
        <w:spacing w:after="80" w:line="259"/>
      </w:pPr>
      <w:r>
        <w:rPr>
          <w:rFonts w:ascii="Arial" w:cs="Arial" w:eastAsia="Arial" w:hAnsi="Arial"/>
          <w:b w:val="false"/>
          <w:bCs w:val="false"/>
          <w:sz w:val="21"/>
          <w:szCs w:val="21"/>
        </w:rPr>
        <w:t xml:space="preserve">SpaceX's stated supply terms: it still reports no long-term chip supply contracts and purchase-order buying </w:t>
      </w:r>
      <w:hyperlink w:history="1" r:id="rId9m3sqitoecxfysmvs0-hg">
        <w:r>
          <w:rPr>
            <w:rFonts w:ascii="Arial" w:cs="Arial" w:eastAsia="Arial" w:hAnsi="Arial"/>
            <w:color w:val="0563C1"/>
            <w:sz w:val="21"/>
            <w:szCs w:val="21"/>
            <w:u w:val="single"/>
          </w:rPr>
          <w:t xml:space="preserve">[424B4 Risk Factors]</w:t>
        </w:r>
      </w:hyperlink>
      <w:r>
        <w:rPr>
          <w:rFonts w:ascii="Arial" w:cs="Arial" w:eastAsia="Arial" w:hAnsi="Arial"/>
          <w:b w:val="false"/>
          <w:bCs w:val="false"/>
          <w:sz w:val="21"/>
          <w:szCs w:val="21"/>
        </w:rPr>
        <w:t xml:space="preserve">, and its 10-Q reports no material change to those risk factors </w:t>
      </w:r>
      <w:hyperlink w:history="1" r:id="rIddpp6rnabh2uk0_s0tp8ml">
        <w:r>
          <w:rPr>
            <w:rFonts w:ascii="Arial" w:cs="Arial" w:eastAsia="Arial" w:hAnsi="Arial"/>
            <w:color w:val="0563C1"/>
            <w:sz w:val="21"/>
            <w:szCs w:val="21"/>
            <w:u w:val="single"/>
          </w:rPr>
          <w:t xml:space="preserve">[10-Q Item 1A]</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val="false"/>
          <w:bCs w:val="false"/>
          <w:sz w:val="21"/>
          <w:szCs w:val="21"/>
        </w:rPr>
        <w:t xml:space="preserve">SpaceX's exposure under its customer contracts, including the 90-day termination rights and Google's September 30, 2026 GPU-delivery condition </w:t>
      </w:r>
      <w:hyperlink w:history="1" r:id="rIdvh4y-6_g9enmekv7bbwjn">
        <w:r>
          <w:rPr>
            <w:rFonts w:ascii="Arial" w:cs="Arial" w:eastAsia="Arial" w:hAnsi="Arial"/>
            <w:color w:val="0563C1"/>
            <w:sz w:val="21"/>
            <w:szCs w:val="21"/>
            <w:u w:val="single"/>
          </w:rPr>
          <w:t xml:space="preserve">[424B4 Business]</w:t>
        </w:r>
      </w:hyperlink>
      <w:r>
        <w:rPr>
          <w:rFonts w:ascii="Arial" w:cs="Arial" w:eastAsia="Arial" w:hAnsi="Arial"/>
          <w:b w:val="false"/>
          <w:bCs w:val="false"/>
          <w:sz w:val="21"/>
          <w:szCs w:val="21"/>
        </w:rPr>
        <w:t xml:space="preserve"> </w:t>
      </w:r>
      <w:hyperlink w:history="1" r:id="rId8obztg7jm0j1syvsvpbms">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val="false"/>
          <w:bCs w:val="false"/>
          <w:sz w:val="21"/>
          <w:szCs w:val="21"/>
        </w:rPr>
        <w:t xml:space="preserve">Anything about GPU volume, price or priority: a 13F lists long positions in US-listed securities held at quarter end, not supply arrangements </w:t>
      </w:r>
      <w:hyperlink w:history="1" r:id="rIdmfqbqpc3ez_5jkgccotka">
        <w:r>
          <w:rPr>
            <w:rFonts w:ascii="Arial" w:cs="Arial" w:eastAsia="Arial" w:hAnsi="Arial"/>
            <w:color w:val="0563C1"/>
            <w:sz w:val="21"/>
            <w:szCs w:val="21"/>
            <w:u w:val="single"/>
          </w:rPr>
          <w:t xml:space="preserve">[NVIDIA 13F filing]</w:t>
        </w:r>
      </w:hyperlink>
      <w:r>
        <w:rPr>
          <w:rFonts w:ascii="Arial" w:cs="Arial" w:eastAsia="Arial" w:hAnsi="Arial"/>
          <w:b w:val="false"/>
          <w:bCs w:val="false"/>
          <w:sz w:val="21"/>
          <w:szCs w:val="21"/>
        </w:rPr>
        <w:t xml:space="preserve">.</w:t>
      </w:r>
    </w:p>
    <w:p>
      <w:pPr>
        <w:pStyle w:val="Heading1"/>
        <w:spacing w:after="100" w:before="240"/>
      </w:pPr>
      <w:r>
        <w:rPr>
          <w:rFonts w:ascii="Arial" w:cs="Arial" w:eastAsia="Arial" w:hAnsi="Arial"/>
          <w:b/>
          <w:bCs/>
          <w:color w:val="1F3864"/>
          <w:sz w:val="24"/>
          <w:szCs w:val="24"/>
        </w:rPr>
        <w:t xml:space="preserve">4. What this analysis does not establish</w:t>
      </w:r>
    </w:p>
    <w:p>
      <w:pPr>
        <w:pStyle w:val="ListParagraph"/>
        <w:numPr>
          <w:ilvl w:val="0"/>
          <w:numId w:val="2"/>
        </w:numPr>
        <w:spacing w:after="80" w:line="259"/>
      </w:pPr>
      <w:r>
        <w:rPr>
          <w:rFonts w:ascii="Arial" w:cs="Arial" w:eastAsia="Arial" w:hAnsi="Arial"/>
          <w:b/>
          <w:bCs/>
          <w:sz w:val="21"/>
          <w:szCs w:val="21"/>
        </w:rPr>
        <w:t xml:space="preserve">Who supplies SpaceX's GPUs, and in what volume.</w:t>
      </w:r>
      <w:r>
        <w:rPr>
          <w:rFonts w:ascii="Arial" w:cs="Arial" w:eastAsia="Arial" w:hAnsi="Arial"/>
          <w:b w:val="false"/>
          <w:bCs w:val="false"/>
          <w:sz w:val="21"/>
          <w:szCs w:val="21"/>
        </w:rPr>
        <w:t xml:space="preserve"> The filings name NVIDIA GPUs only as the hardware in capacity sold to Anthropic </w:t>
      </w:r>
      <w:hyperlink w:history="1" r:id="rIdv4ligdu1mbqh3zjkrnvhv">
        <w:r>
          <w:rPr>
            <w:rFonts w:ascii="Arial" w:cs="Arial" w:eastAsia="Arial" w:hAnsi="Arial"/>
            <w:color w:val="0563C1"/>
            <w:sz w:val="21"/>
            <w:szCs w:val="21"/>
            <w:u w:val="single"/>
          </w:rPr>
          <w:t xml:space="preserve">[424B4 Business]</w:t>
        </w:r>
      </w:hyperlink>
      <w:r>
        <w:rPr>
          <w:rFonts w:ascii="Arial" w:cs="Arial" w:eastAsia="Arial" w:hAnsi="Arial"/>
          <w:b w:val="false"/>
          <w:bCs w:val="false"/>
          <w:sz w:val="21"/>
          <w:szCs w:val="21"/>
        </w:rPr>
        <w:t xml:space="preserve"> and Google </w:t>
      </w:r>
      <w:hyperlink w:history="1" r:id="rIdqnmruzg9yb_9yqce_ghi4">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 My searches of SpaceX's filings for a supply agreement with NVIDIA found none, but "not found by these searches" is not proof that none exists.</w:t>
      </w:r>
    </w:p>
    <w:p>
      <w:pPr>
        <w:pStyle w:val="ListParagraph"/>
        <w:numPr>
          <w:ilvl w:val="0"/>
          <w:numId w:val="2"/>
        </w:numPr>
        <w:spacing w:after="80" w:line="259"/>
      </w:pPr>
      <w:r>
        <w:rPr>
          <w:rFonts w:ascii="Arial" w:cs="Arial" w:eastAsia="Arial" w:hAnsi="Arial"/>
          <w:b/>
          <w:bCs/>
          <w:sz w:val="21"/>
          <w:szCs w:val="21"/>
        </w:rPr>
        <w:t xml:space="preserve">Whether SpaceX is one of NVIDIA's 10%-plus customers.</w:t>
      </w:r>
      <w:r>
        <w:rPr>
          <w:rFonts w:ascii="Arial" w:cs="Arial" w:eastAsia="Arial" w:hAnsi="Arial"/>
          <w:b w:val="false"/>
          <w:bCs w:val="false"/>
          <w:sz w:val="21"/>
          <w:szCs w:val="21"/>
        </w:rPr>
        <w:t xml:space="preserve"> NVIDIA reports those customers only by percentage </w:t>
      </w:r>
      <w:hyperlink w:history="1" r:id="rIds2mobpifjqewe0706dcf6">
        <w:r>
          <w:rPr>
            <w:rFonts w:ascii="Arial" w:cs="Arial" w:eastAsia="Arial" w:hAnsi="Arial"/>
            <w:color w:val="0563C1"/>
            <w:sz w:val="21"/>
            <w:szCs w:val="21"/>
            <w:u w:val="single"/>
          </w:rPr>
          <w:t xml:space="preserve">[NVIDIA FY2026 10-K]</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bCs/>
          <w:sz w:val="21"/>
          <w:szCs w:val="21"/>
        </w:rPr>
        <w:t xml:space="preserve">Whether the stake affects SpaceX's allocation, pricing or priority.</w:t>
      </w:r>
      <w:r>
        <w:rPr>
          <w:rFonts w:ascii="Arial" w:cs="Arial" w:eastAsia="Arial" w:hAnsi="Arial"/>
          <w:b w:val="false"/>
          <w:bCs w:val="false"/>
          <w:sz w:val="21"/>
          <w:szCs w:val="21"/>
        </w:rPr>
        <w:t xml:space="preserve"> No filing I read addresses this.</w:t>
      </w:r>
    </w:p>
    <w:p>
      <w:pPr>
        <w:pStyle w:val="ListParagraph"/>
        <w:numPr>
          <w:ilvl w:val="0"/>
          <w:numId w:val="2"/>
        </w:numPr>
        <w:spacing w:after="80" w:line="259"/>
      </w:pPr>
      <w:r>
        <w:rPr>
          <w:rFonts w:ascii="Arial" w:cs="Arial" w:eastAsia="Arial" w:hAnsi="Arial"/>
          <w:b/>
          <w:bCs/>
          <w:sz w:val="21"/>
          <w:szCs w:val="21"/>
        </w:rPr>
        <w:t xml:space="preserve">Whether Google's September 30, 2026 delivery condition has been met.</w:t>
      </w:r>
      <w:r>
        <w:rPr>
          <w:rFonts w:ascii="Arial" w:cs="Arial" w:eastAsia="Arial" w:hAnsi="Arial"/>
          <w:b w:val="false"/>
          <w:bCs w:val="false"/>
          <w:sz w:val="21"/>
          <w:szCs w:val="21"/>
        </w:rPr>
        <w:t xml:space="preserve"> That is today's date, and nothing I found reports the outcome </w:t>
      </w:r>
      <w:hyperlink w:history="1" r:id="rIdjuebwzikm9nc2p41ikdoj">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bCs/>
          <w:sz w:val="21"/>
          <w:szCs w:val="21"/>
        </w:rPr>
        <w:t xml:space="preserve">The full terms of two deals.</w:t>
      </w:r>
      <w:r>
        <w:rPr>
          <w:rFonts w:ascii="Arial" w:cs="Arial" w:eastAsia="Arial" w:hAnsi="Arial"/>
          <w:b w:val="false"/>
          <w:bCs w:val="false"/>
          <w:sz w:val="21"/>
          <w:szCs w:val="21"/>
        </w:rPr>
        <w:t xml:space="preserve"> The Google agreement was not found in the final prospectus by my searches; its terms come from a free-writing prospectus </w:t>
      </w:r>
      <w:hyperlink w:history="1" r:id="rIdn6veuc2czf08anx14gfjf">
        <w:r>
          <w:rPr>
            <w:rFonts w:ascii="Arial" w:cs="Arial" w:eastAsia="Arial" w:hAnsi="Arial"/>
            <w:color w:val="0563C1"/>
            <w:sz w:val="21"/>
            <w:szCs w:val="21"/>
            <w:u w:val="single"/>
          </w:rPr>
          <w:t xml:space="preserve">[FWP 6/5/26]</w:t>
        </w:r>
      </w:hyperlink>
      <w:r>
        <w:rPr>
          <w:rFonts w:ascii="Arial" w:cs="Arial" w:eastAsia="Arial" w:hAnsi="Arial"/>
          <w:b w:val="false"/>
          <w:bCs w:val="false"/>
          <w:sz w:val="21"/>
          <w:szCs w:val="21"/>
        </w:rPr>
        <w:t xml:space="preserve">. The Cursor compute agreement's GPU count, monthly fee and ordinary cancellation rights were not found </w:t>
      </w:r>
      <w:hyperlink w:history="1" r:id="rIdpxklrs-hraexwrtlpr393">
        <w:r>
          <w:rPr>
            <w:rFonts w:ascii="Arial" w:cs="Arial" w:eastAsia="Arial" w:hAnsi="Arial"/>
            <w:color w:val="0563C1"/>
            <w:sz w:val="21"/>
            <w:szCs w:val="21"/>
            <w:u w:val="single"/>
          </w:rPr>
          <w:t xml:space="preserve">[424B4 note]</w:t>
        </w:r>
      </w:hyperlink>
      <w:r>
        <w:rPr>
          <w:rFonts w:ascii="Arial" w:cs="Arial" w:eastAsia="Arial" w:hAnsi="Arial"/>
          <w:b w:val="false"/>
          <w:bCs w:val="false"/>
          <w:sz w:val="21"/>
          <w:szCs w:val="21"/>
        </w:rPr>
        <w:t xml:space="preserve">.</w:t>
      </w:r>
    </w:p>
    <w:p>
      <w:pPr>
        <w:pStyle w:val="ListParagraph"/>
        <w:numPr>
          <w:ilvl w:val="0"/>
          <w:numId w:val="2"/>
        </w:numPr>
        <w:spacing w:after="80" w:line="259"/>
      </w:pPr>
      <w:r>
        <w:rPr>
          <w:rFonts w:ascii="Arial" w:cs="Arial" w:eastAsia="Arial" w:hAnsi="Arial"/>
          <w:b/>
          <w:bCs/>
          <w:sz w:val="21"/>
          <w:szCs w:val="21"/>
        </w:rPr>
        <w:t xml:space="preserve">NVIDIA's position after June 30.</w:t>
      </w:r>
      <w:r>
        <w:rPr>
          <w:rFonts w:ascii="Arial" w:cs="Arial" w:eastAsia="Arial" w:hAnsi="Arial"/>
          <w:b w:val="false"/>
          <w:bCs w:val="false"/>
          <w:sz w:val="21"/>
          <w:szCs w:val="21"/>
        </w:rPr>
        <w:t xml:space="preserve"> The 13F is a quarter-end snapshot </w:t>
      </w:r>
      <w:hyperlink w:history="1" r:id="rId_gpkjtkic7xfhn1h8lj-f">
        <w:r>
          <w:rPr>
            <w:rFonts w:ascii="Arial" w:cs="Arial" w:eastAsia="Arial" w:hAnsi="Arial"/>
            <w:color w:val="0563C1"/>
            <w:sz w:val="21"/>
            <w:szCs w:val="21"/>
            <w:u w:val="single"/>
          </w:rPr>
          <w:t xml:space="preserve">[NVIDIA 13F filing]</w:t>
        </w:r>
      </w:hyperlink>
      <w:r>
        <w:rPr>
          <w:rFonts w:ascii="Arial" w:cs="Arial" w:eastAsia="Arial" w:hAnsi="Arial"/>
          <w:b w:val="false"/>
          <w:bCs w:val="false"/>
          <w:sz w:val="21"/>
          <w:szCs w:val="21"/>
        </w:rPr>
        <w:t xml:space="preserve">; this memo does not show later changes.</w:t>
      </w:r>
    </w:p>
    <w:p>
      <w:pPr>
        <w:spacing w:after="60" w:before="160"/>
      </w:pPr>
      <w:r>
        <w:rPr>
          <w:rFonts w:ascii="Arial" w:cs="Arial" w:eastAsia="Arial" w:hAnsi="Arial"/>
          <w:b/>
          <w:bCs/>
          <w:sz w:val="21"/>
          <w:szCs w:val="21"/>
        </w:rPr>
        <w:t xml:space="preserve">What I inferred rather than read in a filing</w:t>
      </w:r>
    </w:p>
    <w:p>
      <w:pPr>
        <w:pStyle w:val="ListParagraph"/>
        <w:numPr>
          <w:ilvl w:val="0"/>
          <w:numId w:val="2"/>
        </w:numPr>
        <w:spacing w:after="80" w:line="259"/>
      </w:pPr>
      <w:r>
        <w:rPr>
          <w:rFonts w:ascii="Arial" w:cs="Arial" w:eastAsia="Arial" w:hAnsi="Arial"/>
          <w:b/>
          <w:bCs/>
          <w:sz w:val="21"/>
          <w:szCs w:val="21"/>
        </w:rPr>
        <w:t xml:space="preserve">NVIDIA's ownership percentage, roughly 1.6% of the Class A.</w:t>
      </w:r>
      <w:r>
        <w:rPr>
          <w:rFonts w:ascii="Arial" w:cs="Arial" w:eastAsia="Arial" w:hAnsi="Arial"/>
          <w:b w:val="false"/>
          <w:bCs w:val="false"/>
          <w:sz w:val="21"/>
          <w:szCs w:val="21"/>
        </w:rPr>
        <w:t xml:space="preserve"> I divided NVIDIA's shares by the share count implied by Alphabet's 13G (551,189,500 shares reported as 7.2%) </w:t>
      </w:r>
      <w:hyperlink w:history="1" r:id="rIdy93tigcaazt9ohtjtxjf9">
        <w:r>
          <w:rPr>
            <w:rFonts w:ascii="Arial" w:cs="Arial" w:eastAsia="Arial" w:hAnsi="Arial"/>
            <w:color w:val="0563C1"/>
            <w:sz w:val="21"/>
            <w:szCs w:val="21"/>
            <w:u w:val="single"/>
          </w:rPr>
          <w:t xml:space="preserve">[Alphabet 13G]</w:t>
        </w:r>
      </w:hyperlink>
      <w:r>
        <w:rPr>
          <w:rFonts w:ascii="Arial" w:cs="Arial" w:eastAsia="Arial" w:hAnsi="Arial"/>
          <w:b w:val="false"/>
          <w:bCs w:val="false"/>
          <w:sz w:val="21"/>
          <w:szCs w:val="21"/>
        </w:rPr>
        <w:t xml:space="preserve">. Musk's 13G (6,418,547,515 shares, 48.4%) implies a different base </w:t>
      </w:r>
      <w:hyperlink w:history="1" r:id="rIdkkiyykkeme3g_lcqxruz5">
        <w:r>
          <w:rPr>
            <w:rFonts w:ascii="Arial" w:cs="Arial" w:eastAsia="Arial" w:hAnsi="Arial"/>
            <w:color w:val="0563C1"/>
            <w:sz w:val="21"/>
            <w:szCs w:val="21"/>
            <w:u w:val="single"/>
          </w:rPr>
          <w:t xml:space="preserve">[Musk 13G]</w:t>
        </w:r>
      </w:hyperlink>
      <w:r>
        <w:rPr>
          <w:rFonts w:ascii="Arial" w:cs="Arial" w:eastAsia="Arial" w:hAnsi="Arial"/>
          <w:b w:val="false"/>
          <w:bCs w:val="false"/>
          <w:sz w:val="21"/>
          <w:szCs w:val="21"/>
        </w:rPr>
        <w:t xml:space="preserve">, so treat the 1.6% as rough.</w:t>
      </w:r>
    </w:p>
    <w:p>
      <w:pPr>
        <w:pStyle w:val="ListParagraph"/>
        <w:numPr>
          <w:ilvl w:val="0"/>
          <w:numId w:val="2"/>
        </w:numPr>
        <w:spacing w:after="80" w:line="259"/>
      </w:pPr>
      <w:r>
        <w:rPr>
          <w:rFonts w:ascii="Arial" w:cs="Arial" w:eastAsia="Arial" w:hAnsi="Arial"/>
          <w:b/>
          <w:bCs/>
          <w:sz w:val="21"/>
          <w:szCs w:val="21"/>
        </w:rPr>
        <w:t xml:space="preserve">That NVIDIA holds under 5%.</w:t>
      </w:r>
      <w:r>
        <w:rPr>
          <w:rFonts w:ascii="Arial" w:cs="Arial" w:eastAsia="Arial" w:hAnsi="Arial"/>
          <w:b w:val="false"/>
          <w:bCs w:val="false"/>
          <w:sz w:val="21"/>
          <w:szCs w:val="21"/>
        </w:rPr>
        <w:t xml:space="preserve"> Inferred from its absence among the four 13Gs on record (which reflect only the filings loaded in the corpus) and from the estimate above.</w:t>
      </w:r>
    </w:p>
    <w:p>
      <w:pPr>
        <w:pStyle w:val="ListParagraph"/>
        <w:numPr>
          <w:ilvl w:val="0"/>
          <w:numId w:val="2"/>
        </w:numPr>
        <w:spacing w:after="80" w:line="259"/>
      </w:pPr>
      <w:r>
        <w:rPr>
          <w:rFonts w:ascii="Arial" w:cs="Arial" w:eastAsia="Arial" w:hAnsi="Arial"/>
          <w:b/>
          <w:bCs/>
          <w:sz w:val="21"/>
          <w:szCs w:val="21"/>
        </w:rPr>
        <w:t xml:space="preserve">Simple arithmetic on reported figures:</w:t>
      </w:r>
      <w:r>
        <w:rPr>
          <w:rFonts w:ascii="Arial" w:cs="Arial" w:eastAsia="Arial" w:hAnsi="Arial"/>
          <w:b w:val="false"/>
          <w:bCs w:val="false"/>
          <w:sz w:val="21"/>
          <w:szCs w:val="21"/>
        </w:rPr>
        <w:t xml:space="preserve"> the one-third portfolio share (and an implied price of about $170.86 per share) are my division of the 13F values, and the rise in concentration is my reading of the percentages cited in Section 3.</w:t>
      </w:r>
    </w:p>
    <w:p>
      <w:pPr>
        <w:pStyle w:val="ListParagraph"/>
        <w:numPr>
          <w:ilvl w:val="0"/>
          <w:numId w:val="2"/>
        </w:numPr>
        <w:spacing w:after="80" w:line="259"/>
      </w:pPr>
      <w:r>
        <w:rPr>
          <w:rFonts w:ascii="Arial" w:cs="Arial" w:eastAsia="Arial" w:hAnsi="Arial"/>
          <w:b/>
          <w:bCs/>
          <w:sz w:val="21"/>
          <w:szCs w:val="21"/>
        </w:rPr>
        <w:t xml:space="preserve">The "two-sided dependency" characterization in Section 1</w:t>
      </w:r>
      <w:r>
        <w:rPr>
          <w:rFonts w:ascii="Arial" w:cs="Arial" w:eastAsia="Arial" w:hAnsi="Arial"/>
          <w:b w:val="false"/>
          <w:bCs w:val="false"/>
          <w:sz w:val="21"/>
          <w:szCs w:val="21"/>
        </w:rPr>
        <w:t xml:space="preserve"> is my synthesis of the disclosures cited there, not a statement SpaceX makes.</w:t>
      </w:r>
    </w:p>
    <w:p>
      <w:pPr>
        <w:pStyle w:val="ListParagraph"/>
        <w:numPr>
          <w:ilvl w:val="0"/>
          <w:numId w:val="2"/>
        </w:numPr>
        <w:spacing w:after="80" w:line="259"/>
      </w:pPr>
      <w:r>
        <w:rPr>
          <w:rFonts w:ascii="Arial" w:cs="Arial" w:eastAsia="Arial" w:hAnsi="Arial"/>
          <w:b/>
          <w:bCs/>
          <w:sz w:val="21"/>
          <w:szCs w:val="21"/>
        </w:rPr>
        <w:t xml:space="preserve">How NVIDIA came to hold the shares.</w:t>
      </w:r>
      <w:r>
        <w:rPr>
          <w:rFonts w:ascii="Arial" w:cs="Arial" w:eastAsia="Arial" w:hAnsi="Arial"/>
          <w:b w:val="false"/>
          <w:bCs w:val="false"/>
          <w:sz w:val="21"/>
          <w:szCs w:val="21"/>
        </w:rPr>
        <w:t xml:space="preserve"> I did not find this stated. SpaceX completed its merger with xAI on February 2, 2026 </w:t>
      </w:r>
      <w:hyperlink w:history="1" r:id="rIdnbhb9ck6-raiwqndibw22">
        <w:r>
          <w:rPr>
            <w:rFonts w:ascii="Arial" w:cs="Arial" w:eastAsia="Arial" w:hAnsi="Arial"/>
            <w:color w:val="0563C1"/>
            <w:sz w:val="21"/>
            <w:szCs w:val="21"/>
            <w:u w:val="single"/>
          </w:rPr>
          <w:t xml:space="preserve">[FWP 6/8/26]</w:t>
        </w:r>
      </w:hyperlink>
      <w:r>
        <w:rPr>
          <w:rFonts w:ascii="Arial" w:cs="Arial" w:eastAsia="Arial" w:hAnsi="Arial"/>
          <w:b w:val="false"/>
          <w:bCs w:val="false"/>
          <w:sz w:val="21"/>
          <w:szCs w:val="21"/>
        </w:rPr>
        <w:t xml:space="preserve">, but I have no filing showing NVIDIA held xAI stock, so any link between the two is speculation.</w:t>
      </w:r>
    </w:p>
    <w:p>
      <w:pPr>
        <w:spacing w:after="0" w:before="160"/>
      </w:pPr>
      <w:r>
        <w:rPr>
          <w:rFonts w:ascii="Arial" w:cs="Arial" w:eastAsia="Arial" w:hAnsi="Arial"/>
          <w:i/>
          <w:iCs/>
          <w:sz w:val="17"/>
          <w:szCs w:val="17"/>
        </w:rPr>
        <w:t xml:space="preserve">Source notes: search results are AI-ranked passages from SEC filings; each link opens the cited passage in the filing. The NVIDIA 13F link opens the filing folder because the holdings table is XML. Figures are as reported at the dates shown.</w:t>
      </w:r>
    </w:p>
    <w:sectPr>
      <w:footerReference w:type="default" r:id="rId7"/>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SpaceX GPU supply dependency | Page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vv2kzvdqkjabktyywu" Type="http://schemas.openxmlformats.org/officeDocument/2006/relationships/hyperlink" Target="https://www.sec.gov/Archives/edgar/data/1181412/000162828026042639/spaceexplorationtechnologi.htm#:~:text=financial%20condition%2C%20results%20of,of%20advanced%20semiconductor%20fabrication%20facilities%2C&amp;text=financial%20condition%2C%20results%20of" TargetMode="External"/><Relationship Id="rIdpagxvdcdb46q1dsyieb9l" Type="http://schemas.openxmlformats.org/officeDocument/2006/relationships/hyperlink" Target="https://www.sec.gov/Archives/edgar/data/1181412/000162828026042639/spaceexplorationtechnologi.htm#:~:text=procuring%20all%20of%20our%20GPUs%20on%20a%20purchase%2Dorder%20basis.,network%20infrastructure%20upgrades%20or%20expansions%2C&amp;text=procuring%20all%20of%20our%20GPUs%20on%20a%20purchase%2Dorder%20basis." TargetMode="External"/><Relationship Id="rId5lvjlwfs_lvbtxwv243dr" Type="http://schemas.openxmlformats.org/officeDocument/2006/relationships/hyperlink" Target="https://www.sec.gov/Archives/edgar/data/1181412/000162828026042639/spaceexplorationtechnologi.htm#:~:text=diligence%20on%20Cursor%E2%80%99s%20business%2C%20technology%20and%20operations%2C%20and%20expect%20to,and%20disciplined%20capital%20investment%20to&amp;text=diligence%20on%20Cursor%E2%80%99s%20business%2C%20technology%20and%20operations%2C%20and%20expect%20to" TargetMode="External"/><Relationship Id="rId8mcfwnlwxvpqycbgrvlvo" Type="http://schemas.openxmlformats.org/officeDocument/2006/relationships/hyperlink" Target="https://www.sec.gov/Archives/edgar/data/1181412/000162828026041150/spacexagreementfwp.htm#:~:text=Filed%20Pursuant%20to%20Rule%20433%20Registration%20File%20No.%20333%2D296070%20Free%20Writing%20Prospectus,September%20at%20a%20reduced%20fee.&amp;text=Filed%20Pursuant%20to%20Rule%20433%20Registration%20File%20No.%20333%2D296070%20Free%20Writing%20Prospectus" TargetMode="External"/><Relationship Id="rIdcxmd4z7s0o0zzwkjbgv-4" Type="http://schemas.openxmlformats.org/officeDocument/2006/relationships/hyperlink" Target="https://www.sec.gov/Archives/edgar/data/1181412/000162828026041150/spacexagreementfwp.htm#:~:text=Pursuant%20to%20the%20agreement%2C%20the%20customer%20has%20agreed%20to%20pay%20us%20%24920,party%20upon%2090%20days%27%20notice.&amp;text=Pursuant%20to%20the%20agreement%2C%20the%20customer%20has%20agreed%20to%20pay%20us%20%24920" TargetMode="External"/><Relationship Id="rIdkluk6k_onr3dzx0s4bxjh" Type="http://schemas.openxmlformats.org/officeDocument/2006/relationships/hyperlink" Target="https://www.sec.gov/Archives/edgar/data/1181412/000162828026041150/spacexagreementfwp.htm#:~:text=Pursuant%20to%20the%20agreement%2C%20the%20customer%20has%20agreed%20to%20pay%20us%20%24920,party%20upon%2090%20days%27%20notice.&amp;text=Pursuant%20to%20the%20agreement%2C%20the%20customer%20has%20agreed%20to%20pay%20us%20%24920" TargetMode="External"/><Relationship Id="rIdsqjzjeju5g6-e7ro2bile" Type="http://schemas.openxmlformats.org/officeDocument/2006/relationships/hyperlink" Target="https://www.sec.gov/Archives/edgar/data/1181412/000162828026042639/spaceexplorationtechnologi.htm#:~:text=procuring%20all%20of%20our%20GPUs%20on%20a%20purchase%2Dorder%20basis.,network%20infrastructure%20upgrades%20or%20expansions%2C&amp;text=procuring%20all%20of%20our%20GPUs%20on%20a%20purchase%2Dorder%20basis." TargetMode="External"/><Relationship Id="rIdpgmv7kuxaakjr30yacmqn" Type="http://schemas.openxmlformats.org/officeDocument/2006/relationships/hyperlink" Target="https://www.sec.gov/Archives/edgar/data/1181412/000162828026042639/spaceexplorationtechnologi.htm#:~:text=diligence%20on%20Cursor%E2%80%99s%20business%2C%20technology%20and%20operations%2C%20and%20expect%20to,and%20disciplined%20capital%20investment%20to&amp;text=diligence%20on%20Cursor%E2%80%99s%20business%2C%20technology%20and%20operations%2C%20and%20expect%20to" TargetMode="External"/><Relationship Id="rIdnzeomqf8vs2cbuc8xc4py" Type="http://schemas.openxmlformats.org/officeDocument/2006/relationships/hyperlink" Target="https://www.sec.gov/Archives/edgar/data/1181412/000162828026042639/spaceexplorationtechnologi.htm#:~:text=diligence%20on%20Cursor%E2%80%99s%20business%2C%20technology%20and%20operations%2C%20and%20expect%20to,and%20disciplined%20capital%20investment%20to&amp;text=diligence%20on%20Cursor%E2%80%99s%20business%2C%20technology%20and%20operations%2C%20and%20expect%20to" TargetMode="External"/><Relationship Id="rIdzzchdi7pd7i_mgxeg7mll" Type="http://schemas.openxmlformats.org/officeDocument/2006/relationships/hyperlink" Target="https://www.sec.gov/Archives/edgar/data/1181412/000162828026042639/spaceexplorationtechnologi.htm#:~:text=diligence%20on%20Cursor%E2%80%99s%20business%2C%20technology%20and%20operations%2C%20and%20expect%20to,and%20disciplined%20capital%20investment%20to&amp;text=diligence%20on%20Cursor%E2%80%99s%20business%2C%20technology%20and%20operations%2C%20and%20expect%20to" TargetMode="External"/><Relationship Id="rIdsobt7ddslax8zv8mlga5y" Type="http://schemas.openxmlformats.org/officeDocument/2006/relationships/hyperlink" Target="https://www.sec.gov/Archives/edgar/data/1181412/000162828026042639/spaceexplorationtechnologi.htm#:~:text=If%20either%20%28i%29%20the,AI%20models%2C%20and%20related%20data.&amp;text=If%20either%20%28i%29%20the" TargetMode="External"/><Relationship Id="rId-u21pdt86zh6dz3k57v4k" Type="http://schemas.openxmlformats.org/officeDocument/2006/relationships/hyperlink" Target="https://www.sec.gov/Archives/edgar/data/1181412/000162828026041150/spacexagreementfwp.htm#:~:text=Filed%20Pursuant%20to%20Rule%20433%20Registration%20File%20No.%20333%2D296070%20Free%20Writing%20Prospectus,September%20at%20a%20reduced%20fee.&amp;text=Filed%20Pursuant%20to%20Rule%20433%20Registration%20File%20No.%20333%2D296070%20Free%20Writing%20Prospectus" TargetMode="External"/><Relationship Id="rIdopqqmum32bkfm9xt-by86" Type="http://schemas.openxmlformats.org/officeDocument/2006/relationships/hyperlink" Target="https://www.sec.gov/Archives/edgar/data/1181412/000162828026041150/spacexagreementfwp.htm#:~:text=Filed%20Pursuant%20to%20Rule%20433%20Registration%20File%20No.%20333%2D296070%20Free%20Writing%20Prospectus,September%20at%20a%20reduced%20fee.&amp;text=Filed%20Pursuant%20to%20Rule%20433%20Registration%20File%20No.%20333%2D296070%20Free%20Writing%20Prospectus" TargetMode="External"/><Relationship Id="rId_niyxsvvuoptkn3dxdyuu" Type="http://schemas.openxmlformats.org/officeDocument/2006/relationships/hyperlink" Target="https://www.sec.gov/Archives/edgar/data/1181412/000162828026041150/spacexagreementfwp.htm#:~:text=Pursuant%20to%20the%20agreement%2C%20the%20customer%20has%20agreed%20to%20pay%20us%20%24920,party%20upon%2090%20days%27%20notice.&amp;text=Pursuant%20to%20the%20agreement%2C%20the%20customer%20has%20agreed%20to%20pay%20us%20%24920" TargetMode="External"/><Relationship Id="rIdoudtsux_zlkdtheanpf4c" Type="http://schemas.openxmlformats.org/officeDocument/2006/relationships/hyperlink" Target="https://www.sec.gov/Archives/edgar/data/1181412/000162828026042639/spaceexplorationtechnologi.htm#:~:text=a%20high%2Dfrequency%20coding%20workflow%20generates%20valuable%20developer,2026%20at%20a%20reduced%20fee.&amp;text=a%20high%2Dfrequency%20coding%20workflow%20generates%20valuable%20developer" TargetMode="External"/><Relationship Id="rIdpgv78vv4-7bhuk8frdf81" Type="http://schemas.openxmlformats.org/officeDocument/2006/relationships/hyperlink" Target="https://www.sec.gov/Archives/edgar/data/1181412/000162828026042639/spaceexplorationtechnologi.htm#:~:text=If%20either%20%28i%29%20the,AI%20models%2C%20and%20related%20data.&amp;text=If%20either%20%28i%29%20the" TargetMode="External"/><Relationship Id="rIdql3bvvk_y_vtgz1uuq6fz" Type="http://schemas.openxmlformats.org/officeDocument/2006/relationships/hyperlink" Target="https://www.sec.gov/Archives/edgar/data/1181412/000162828026042639/spaceexplorationtechnologi.htm#:~:text=If%20either%20%28i%29%20the,AI%20models%2C%20and%20related%20data.&amp;text=If%20either%20%28i%29%20the" TargetMode="External"/><Relationship Id="rIdh1afrybvud5pw1c4t9ehd" Type="http://schemas.openxmlformats.org/officeDocument/2006/relationships/hyperlink" Target="https://www.sec.gov/Archives/edgar/data/1181412/000162828026052535/spcx-20260630.htm#:~:text=The%20risk%20factor%20set%20forth%20below%20supplements%20the%20risk%20factors%20disclosed%20under,adversely%20affect%20our%20financial%20condition.&amp;text=The%20risk%20factor%20set%20forth%20below%20supplements%20the%20risk%20factors%20disclosed%20under" TargetMode="External"/><Relationship Id="rId0xu5dnwocrvuisc5mshtx" Type="http://schemas.openxmlformats.org/officeDocument/2006/relationships/hyperlink" Target="https://www.sec.gov/Archives/edgar/data/1181412/000162828026042639/spaceexplorationtechnologi.htm#:~:text=secure%20sufficient%20power%20or%20water%20resources%20for%20data%20center%20operations%2C%20could%20result,could%20adversely%20affect%20our%20business.&amp;text=secure%20sufficient%20power%20or%20water%20resources%20for%20data%20center%20operations%2C%20could%20result" TargetMode="External"/><Relationship Id="rIdahi90_lsgeybqcan9mth8" Type="http://schemas.openxmlformats.org/officeDocument/2006/relationships/hyperlink" Target="https://www.sec.gov/Archives/edgar/data/1181412/000162828026052535/spcx-20260630.htm#:~:text=Note%2016%20%2D%20Commitments%20and%20Contingencies,Digital%20Services%20Act%20%28%E2%80%9CDSA%E2%80%9D%29%20came&amp;text=Note%2016%20%2D%20Commitments%20and%20Contingencies" TargetMode="External"/><Relationship Id="rIdf72mmgqve2xsajorrlqvb" Type="http://schemas.openxmlformats.org/officeDocument/2006/relationships/hyperlink" Target="https://www.sec.gov/Archives/edgar/data/1181412/000162828026042639/spaceexplorationtechnologi.htm#:~:text=If%20either%20%28i%29%20the,AI%20models%2C%20and%20related%20data.&amp;text=If%20either%20%28i%29%20the" TargetMode="External"/><Relationship Id="rIdios0ztkhjz3e8bvnreyj5" Type="http://schemas.openxmlformats.org/officeDocument/2006/relationships/hyperlink" Target="https://www.sec.gov/Archives/edgar/data/1181412/000162828026042639/spaceexplorationtechnologi.htm#:~:text=financial%20condition%2C%20results%20of,of%20advanced%20semiconductor%20fabrication%20facilities%2C&amp;text=financial%20condition%2C%20results%20of" TargetMode="External"/><Relationship Id="rIdjr4qaofbmyraff1cjx6th" Type="http://schemas.openxmlformats.org/officeDocument/2006/relationships/hyperlink" Target="https://www.sec.gov/Archives/edgar/data/1181412/000162828026042639/spaceexplorationtechnologi.htm#:~:text=procuring%20all%20of%20our%20GPUs%20on%20a%20purchase%2Dorder%20basis.,network%20infrastructure%20upgrades%20or%20expansions%2C&amp;text=procuring%20all%20of%20our%20GPUs%20on%20a%20purchase%2Dorder%20basis." TargetMode="External"/><Relationship Id="rIdd04xgvoqbgeim1w33aqau" Type="http://schemas.openxmlformats.org/officeDocument/2006/relationships/hyperlink" Target="https://www.sec.gov/Archives/edgar/data/1181412/000162828026052535/spcx-20260630.htm#:~:text=The%20risk%20factor%20set%20forth%20below%20supplements%20the%20risk%20factors%20disclosed%20under,adversely%20affect%20our%20financial%20condition.&amp;text=The%20risk%20factor%20set%20forth%20below%20supplements%20the%20risk%20factors%20disclosed%20under" TargetMode="External"/><Relationship Id="rIdygowkotao62g-dkkm7git" Type="http://schemas.openxmlformats.org/officeDocument/2006/relationships/hyperlink" Target="https://www.sec.gov/Archives/edgar/data/1045810/000104581026000021/nvda-20260125.htm#:~:text=Compute%20%26%20Networking%20revenue%20%E2%80%93%20The%20year%20over%20year%20increase%20was%20driven,from%20a%20limited%20number%20of&amp;text=Compute%20%26%20Networking%20revenue%20%E2%80%93%20The%20year%20over%20year%20increase%20was%20driven" TargetMode="External"/><Relationship Id="rId2fhk1uzbz8qstaq4fwame" Type="http://schemas.openxmlformats.org/officeDocument/2006/relationships/hyperlink" Target="https://www.sec.gov/Archives/edgar/data/1045810/000104581026000052/nvda-20260426.htm#:~:text=year%202027%2C%20three%20direct%20customers%20represented%2021%25%2C%2017%25%2C%20and%2016%25%20of%20total,settlements%20of%20excess%20inventory%20purchase&amp;text=year%202027%2C%20three%20direct%20customers%20represented%2021%25%2C%2017%25%2C%20and%2016%25%20of%20total" TargetMode="External"/><Relationship Id="rIdui4_mcjhjjkwi5qhpwox3" Type="http://schemas.openxmlformats.org/officeDocument/2006/relationships/hyperlink" Target="https://www.sec.gov/Archives/edgar/data/1045810/000104581026000075/nvda-20260726.htm#:~:text=The%20year%2Dover%2Dyear%20increase%20in%20Compute%20%26%20Networking%20segment%20operating%20income%20in%20the,from%20our%20direct%20customers%E2%80%99%20headquarters&amp;text=The%20year%2Dover%2Dyear%20increase%20in%20Compute%20%26%20Networking%20segment%20operating%20income%20in%20the" TargetMode="External"/><Relationship Id="rIdzb2xizej8q4ej2cpfu_n4" Type="http://schemas.openxmlformats.org/officeDocument/2006/relationships/hyperlink" Target="https://www.sec.gov/Archives/edgar/data/1045810/000104581026000021/nvda-20260125.htm#:~:text=Compute%20%26%20Networking%20revenue%20%E2%80%93%20The%20year%20over%20year%20increase%20was%20driven,from%20a%20limited%20number%20of&amp;text=Compute%20%26%20Networking%20revenue%20%E2%80%93%20The%20year%20over%20year%20increase%20was%20driven" TargetMode="External"/><Relationship Id="rIdeurge7asuwi6m9plusikg" Type="http://schemas.openxmlformats.org/officeDocument/2006/relationships/hyperlink" Target="https://www.sec.gov/Archives/edgar/data/1045810/000104581026000065" TargetMode="External"/><Relationship Id="rIdxxebkichvoogt40xfhdwt" Type="http://schemas.openxmlformats.org/officeDocument/2006/relationships/hyperlink" Target="https://www.sec.gov/Archives/edgar/data/1181412/000110465926095936/xslSCHEDULE_13G_X02/primary_doc.xml" TargetMode="External"/><Relationship Id="rId1frgq5ycsgo7_omgufyjq" Type="http://schemas.openxmlformats.org/officeDocument/2006/relationships/hyperlink" Target="https://www.sec.gov/Archives/edgar/data/1181412/000119312526352289/xslSCHEDULE_13G_X02/primary_doc.xml" TargetMode="External"/><Relationship Id="rIdxd7dywmpnb-yvqfvyurcc" Type="http://schemas.openxmlformats.org/officeDocument/2006/relationships/hyperlink" Target="https://www.sec.gov/Archives/edgar/data/1181412/000121390026087780/xslSCHEDULE_13G_X02/primary_doc.xml" TargetMode="External"/><Relationship Id="rIdtkn9pb81ctmhyizxb0ihk" Type="http://schemas.openxmlformats.org/officeDocument/2006/relationships/hyperlink" Target="https://www.sec.gov/Archives/edgar/data/1181412/000142601226000004/xslSCHEDULE_13G_X02/primary_doc.xml" TargetMode="External"/><Relationship Id="rId__dcmp3vqikhcrqgkr1-o" Type="http://schemas.openxmlformats.org/officeDocument/2006/relationships/hyperlink" Target="https://www.sec.gov/Archives/edgar/data/1045810/000104581026000065" TargetMode="External"/><Relationship Id="rId9m3sqitoecxfysmvs0-hg" Type="http://schemas.openxmlformats.org/officeDocument/2006/relationships/hyperlink" Target="https://www.sec.gov/Archives/edgar/data/1181412/000162828026042639/spaceexplorationtechnologi.htm#:~:text=financial%20condition%2C%20results%20of,of%20advanced%20semiconductor%20fabrication%20facilities%2C&amp;text=financial%20condition%2C%20results%20of" TargetMode="External"/><Relationship Id="rIddpp6rnabh2uk0_s0tp8ml" Type="http://schemas.openxmlformats.org/officeDocument/2006/relationships/hyperlink" Target="https://www.sec.gov/Archives/edgar/data/1181412/000162828026052535/spcx-20260630.htm#:~:text=The%20risk%20factor%20set%20forth%20below%20supplements%20the%20risk%20factors%20disclosed%20under,adversely%20affect%20our%20financial%20condition.&amp;text=The%20risk%20factor%20set%20forth%20below%20supplements%20the%20risk%20factors%20disclosed%20under" TargetMode="External"/><Relationship Id="rIdvh4y-6_g9enmekv7bbwjn" Type="http://schemas.openxmlformats.org/officeDocument/2006/relationships/hyperlink" Target="https://www.sec.gov/Archives/edgar/data/1181412/000162828026042639/spaceexplorationtechnologi.htm#:~:text=diligence%20on%20Cursor%E2%80%99s%20business%2C%20technology%20and%20operations%2C%20and%20expect%20to,and%20disciplined%20capital%20investment%20to&amp;text=diligence%20on%20Cursor%E2%80%99s%20business%2C%20technology%20and%20operations%2C%20and%20expect%20to" TargetMode="External"/><Relationship Id="rId8obztg7jm0j1syvsvpbms" Type="http://schemas.openxmlformats.org/officeDocument/2006/relationships/hyperlink" Target="https://www.sec.gov/Archives/edgar/data/1181412/000162828026041150/spacexagreementfwp.htm#:~:text=Pursuant%20to%20the%20agreement%2C%20the%20customer%20has%20agreed%20to%20pay%20us%20%24920,party%20upon%2090%20days%27%20notice.&amp;text=Pursuant%20to%20the%20agreement%2C%20the%20customer%20has%20agreed%20to%20pay%20us%20%24920" TargetMode="External"/><Relationship Id="rIdmfqbqpc3ez_5jkgccotka" Type="http://schemas.openxmlformats.org/officeDocument/2006/relationships/hyperlink" Target="https://www.sec.gov/Archives/edgar/data/1045810/000104581026000065" TargetMode="External"/><Relationship Id="rIdv4ligdu1mbqh3zjkrnvhv" Type="http://schemas.openxmlformats.org/officeDocument/2006/relationships/hyperlink" Target="https://www.sec.gov/Archives/edgar/data/1181412/000162828026042639/spaceexplorationtechnologi.htm#:~:text=diligence%20on%20Cursor%E2%80%99s%20business%2C%20technology%20and%20operations%2C%20and%20expect%20to,and%20disciplined%20capital%20investment%20to&amp;text=diligence%20on%20Cursor%E2%80%99s%20business%2C%20technology%20and%20operations%2C%20and%20expect%20to" TargetMode="External"/><Relationship Id="rIdqnmruzg9yb_9yqce_ghi4" Type="http://schemas.openxmlformats.org/officeDocument/2006/relationships/hyperlink" Target="https://www.sec.gov/Archives/edgar/data/1181412/000162828026041150/spacexagreementfwp.htm#:~:text=Filed%20Pursuant%20to%20Rule%20433%20Registration%20File%20No.%20333%2D296070%20Free%20Writing%20Prospectus,September%20at%20a%20reduced%20fee.&amp;text=Filed%20Pursuant%20to%20Rule%20433%20Registration%20File%20No.%20333%2D296070%20Free%20Writing%20Prospectus" TargetMode="External"/><Relationship Id="rIds2mobpifjqewe0706dcf6" Type="http://schemas.openxmlformats.org/officeDocument/2006/relationships/hyperlink" Target="https://www.sec.gov/Archives/edgar/data/1045810/000104581026000021/nvda-20260125.htm#:~:text=Compute%20%26%20Networking%20revenue%20%E2%80%93%20The%20year%20over%20year%20increase%20was%20driven,from%20a%20limited%20number%20of&amp;text=Compute%20%26%20Networking%20revenue%20%E2%80%93%20The%20year%20over%20year%20increase%20was%20driven" TargetMode="External"/><Relationship Id="rIdjuebwzikm9nc2p41ikdoj" Type="http://schemas.openxmlformats.org/officeDocument/2006/relationships/hyperlink" Target="https://www.sec.gov/Archives/edgar/data/1181412/000162828026041150/spacexagreementfwp.htm#:~:text=Pursuant%20to%20the%20agreement%2C%20the%20customer%20has%20agreed%20to%20pay%20us%20%24920,party%20upon%2090%20days%27%20notice.&amp;text=Pursuant%20to%20the%20agreement%2C%20the%20customer%20has%20agreed%20to%20pay%20us%20%24920" TargetMode="External"/><Relationship Id="rIdn6veuc2czf08anx14gfjf" Type="http://schemas.openxmlformats.org/officeDocument/2006/relationships/hyperlink" Target="https://www.sec.gov/Archives/edgar/data/1181412/000162828026041150/spacexagreementfwp.htm#:~:text=Filed%20Pursuant%20to%20Rule%20433%20Registration%20File%20No.%20333%2D296070%20Free%20Writing%20Prospectus,September%20at%20a%20reduced%20fee.&amp;text=Filed%20Pursuant%20to%20Rule%20433%20Registration%20File%20No.%20333%2D296070%20Free%20Writing%20Prospectus" TargetMode="External"/><Relationship Id="rIdpxklrs-hraexwrtlpr393" Type="http://schemas.openxmlformats.org/officeDocument/2006/relationships/hyperlink" Target="https://www.sec.gov/Archives/edgar/data/1181412/000162828026042639/spaceexplorationtechnologi.htm#:~:text=If%20either%20%28i%29%20the,AI%20models%2C%20and%20related%20data.&amp;text=If%20either%20%28i%29%20the" TargetMode="External"/><Relationship Id="rId_gpkjtkic7xfhn1h8lj-f" Type="http://schemas.openxmlformats.org/officeDocument/2006/relationships/hyperlink" Target="https://www.sec.gov/Archives/edgar/data/1045810/000104581026000065" TargetMode="External"/><Relationship Id="rIdy93tigcaazt9ohtjtxjf9" Type="http://schemas.openxmlformats.org/officeDocument/2006/relationships/hyperlink" Target="https://www.sec.gov/Archives/edgar/data/1181412/000119312526352289/xslSCHEDULE_13G_X02/primary_doc.xml" TargetMode="External"/><Relationship Id="rIdkkiyykkeme3g_lcqxruz5" Type="http://schemas.openxmlformats.org/officeDocument/2006/relationships/hyperlink" Target="https://www.sec.gov/Archives/edgar/data/1181412/000110465926095936/xslSCHEDULE_13G_X02/primary_doc.xml" TargetMode="External"/><Relationship Id="rIdnbhb9ck6-raiwqndibw22" Type="http://schemas.openxmlformats.org/officeDocument/2006/relationships/hyperlink" Target="https://www.sec.gov/Archives/edgar/data/1181412/000162828026041365/eu_interviewtranscript06.htm#:~:text=Similar%20to%20the%20Valor%20transaction%2C%20the%20Valor%20transaction%20II%20was%20considered%20to,Redeemable%20Convertible%20Preferred%20Stock.&amp;text=Similar%20to%20the%20Valor%20transaction%2C%20the%20Valor%20transaction%20II%20was%20considered%20to" TargetMode="External"/><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SpaceX GPU supply dependency memo</dc:title>
  <dc:creator>Claude</dc:creator>
  <cp:lastModifiedBy>Un-named</cp:lastModifiedBy>
  <cp:revision>1</cp:revision>
  <dcterms:created xsi:type="dcterms:W3CDTF">2026-10-01T01:59:22.536Z</dcterms:created>
  <dcterms:modified xsi:type="dcterms:W3CDTF">2026-10-01T01:59:22.536Z</dcterms:modified>
</cp:coreProperties>
</file>

<file path=docProps/custom.xml><?xml version="1.0" encoding="utf-8"?>
<Properties xmlns="http://schemas.openxmlformats.org/officeDocument/2006/custom-properties" xmlns:vt="http://schemas.openxmlformats.org/officeDocument/2006/docPropsVTypes"/>
</file>